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834CED" w:rsidRDefault="00DC777C" w14:paraId="0A094CF9" w14:textId="77777777">
      <w:pPr>
        <w:spacing w:after="0" w:line="259" w:lineRule="auto"/>
        <w:ind w:left="0" w:firstLine="0"/>
      </w:pPr>
      <w:r>
        <w:t xml:space="preserve"> </w:t>
      </w:r>
    </w:p>
    <w:p w:rsidR="00834CED" w:rsidRDefault="00DC777C" w14:paraId="21DAAA20" w14:textId="77777777">
      <w:pPr>
        <w:spacing w:after="16" w:line="259" w:lineRule="auto"/>
        <w:ind w:left="1905" w:firstLine="0"/>
      </w:pPr>
      <w:r>
        <w:rPr>
          <w:noProof/>
        </w:rPr>
        <w:drawing>
          <wp:inline distT="0" distB="0" distL="0" distR="0" wp14:anchorId="20452FEC" wp14:editId="194C4209">
            <wp:extent cx="3179445" cy="259588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
                    <a:stretch>
                      <a:fillRect/>
                    </a:stretch>
                  </pic:blipFill>
                  <pic:spPr>
                    <a:xfrm>
                      <a:off x="0" y="0"/>
                      <a:ext cx="3179445" cy="2595880"/>
                    </a:xfrm>
                    <a:prstGeom prst="rect">
                      <a:avLst/>
                    </a:prstGeom>
                  </pic:spPr>
                </pic:pic>
              </a:graphicData>
            </a:graphic>
          </wp:inline>
        </w:drawing>
      </w:r>
    </w:p>
    <w:p w:rsidR="00834CED" w:rsidRDefault="00DC777C" w14:paraId="5CBD53E8" w14:textId="77777777">
      <w:pPr>
        <w:spacing w:after="0" w:line="451" w:lineRule="auto"/>
        <w:ind w:left="4513" w:right="4452" w:firstLine="0"/>
        <w:jc w:val="both"/>
      </w:pPr>
      <w:r>
        <w:rPr>
          <w:color w:val="7030A0"/>
        </w:rPr>
        <w:t xml:space="preserve">  </w:t>
      </w:r>
    </w:p>
    <w:p w:rsidRPr="00E863AE" w:rsidR="00834CED" w:rsidP="00E863AE" w:rsidRDefault="00E863AE" w14:paraId="6648D3A8" w14:textId="41010D77">
      <w:pPr>
        <w:spacing w:after="0" w:line="259" w:lineRule="auto"/>
        <w:ind w:left="0" w:right="1419" w:firstLine="0"/>
        <w:jc w:val="center"/>
        <w:rPr>
          <w:b/>
          <w:color w:val="7030A0"/>
          <w:sz w:val="52"/>
        </w:rPr>
      </w:pPr>
      <w:r>
        <w:rPr>
          <w:b/>
          <w:color w:val="7030A0"/>
          <w:sz w:val="52"/>
        </w:rPr>
        <w:t xml:space="preserve">     </w:t>
      </w:r>
      <w:r w:rsidRPr="00E863AE" w:rsidR="00DC777C">
        <w:rPr>
          <w:b/>
          <w:color w:val="7030A0"/>
          <w:sz w:val="52"/>
        </w:rPr>
        <w:t>SEND Policy</w:t>
      </w:r>
    </w:p>
    <w:p w:rsidR="00834CED" w:rsidRDefault="00DC777C" w14:paraId="12ECAED9" w14:textId="77777777">
      <w:pPr>
        <w:spacing w:after="0" w:line="259" w:lineRule="auto"/>
        <w:ind w:left="0" w:firstLine="0"/>
      </w:pPr>
      <w:r>
        <w:t xml:space="preserve"> </w:t>
      </w:r>
    </w:p>
    <w:p w:rsidR="00E321BB" w:rsidRDefault="00DC777C" w14:paraId="3C3C2E3E" w14:textId="77777777">
      <w:pPr>
        <w:spacing w:after="0" w:line="259" w:lineRule="auto"/>
        <w:ind w:left="0" w:firstLine="0"/>
      </w:pPr>
      <w:r>
        <w:t xml:space="preserve"> </w:t>
      </w:r>
    </w:p>
    <w:tbl>
      <w:tblPr>
        <w:tblStyle w:val="TableGrid"/>
        <w:tblpPr w:vertAnchor="text" w:tblpX="869" w:tblpY="572"/>
        <w:tblOverlap w:val="never"/>
        <w:tblW w:w="7230" w:type="dxa"/>
        <w:tblInd w:w="0" w:type="dxa"/>
        <w:tblCellMar>
          <w:top w:w="23" w:type="dxa"/>
          <w:left w:w="106" w:type="dxa"/>
        </w:tblCellMar>
        <w:tblLook w:val="04A0" w:firstRow="1" w:lastRow="0" w:firstColumn="1" w:lastColumn="0" w:noHBand="0" w:noVBand="1"/>
      </w:tblPr>
      <w:tblGrid>
        <w:gridCol w:w="3521"/>
        <w:gridCol w:w="3709"/>
      </w:tblGrid>
      <w:tr w:rsidR="00E321BB" w:rsidTr="0558BF7D" w14:paraId="35FAA583" w14:textId="77777777">
        <w:trPr>
          <w:trHeight w:val="298"/>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321BB" w:rsidP="00D0039A" w:rsidRDefault="00E321BB" w14:paraId="6BC6D065" w14:textId="77777777">
            <w:pPr>
              <w:spacing w:after="0" w:line="259" w:lineRule="auto"/>
              <w:ind w:left="2" w:firstLine="0"/>
            </w:pPr>
            <w:r>
              <w:rPr>
                <w:b/>
              </w:rPr>
              <w:t xml:space="preserve">Version </w:t>
            </w:r>
            <w:r>
              <w:t xml:space="preserve">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321BB" w:rsidP="00D0039A" w:rsidRDefault="00E321BB" w14:paraId="4535A4A8" w14:textId="6843CEA8">
            <w:pPr>
              <w:spacing w:after="0" w:line="259" w:lineRule="auto"/>
              <w:ind w:left="0" w:firstLine="0"/>
            </w:pPr>
            <w:r w:rsidR="45FC7191">
              <w:rPr/>
              <w:t>3</w:t>
            </w:r>
          </w:p>
        </w:tc>
      </w:tr>
      <w:tr w:rsidR="00E321BB" w:rsidTr="0558BF7D" w14:paraId="1B31F6D3" w14:textId="77777777">
        <w:trPr>
          <w:trHeight w:val="298"/>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321BB" w:rsidP="00D0039A" w:rsidRDefault="00E321BB" w14:paraId="6BAC5C51" w14:textId="77777777">
            <w:pPr>
              <w:tabs>
                <w:tab w:val="center" w:pos="3308"/>
              </w:tabs>
              <w:spacing w:after="0" w:line="259" w:lineRule="auto"/>
              <w:ind w:left="0" w:firstLine="0"/>
            </w:pPr>
            <w:r>
              <w:rPr>
                <w:b/>
              </w:rPr>
              <w:t xml:space="preserve">Title of </w:t>
            </w:r>
            <w:proofErr w:type="gramStart"/>
            <w:r>
              <w:rPr>
                <w:b/>
              </w:rPr>
              <w:t xml:space="preserve">Policy  </w:t>
            </w:r>
            <w:r>
              <w:rPr>
                <w:b/>
              </w:rPr>
              <w:tab/>
            </w:r>
            <w:proofErr w:type="gramEnd"/>
            <w:r>
              <w:rPr>
                <w:b/>
              </w:rPr>
              <w:t xml:space="preserve"> </w:t>
            </w:r>
            <w:r>
              <w:t xml:space="preserve">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321BB" w:rsidP="00D0039A" w:rsidRDefault="00E321BB" w14:paraId="4E5E8570" w14:textId="77777777">
            <w:pPr>
              <w:spacing w:after="0" w:line="259" w:lineRule="auto"/>
              <w:ind w:left="0" w:firstLine="0"/>
            </w:pPr>
            <w:r>
              <w:t xml:space="preserve">SEND Policy </w:t>
            </w:r>
          </w:p>
        </w:tc>
      </w:tr>
      <w:tr w:rsidR="00E321BB" w:rsidTr="0558BF7D" w14:paraId="01CB3E2A" w14:textId="77777777">
        <w:trPr>
          <w:trHeight w:val="298"/>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321BB" w:rsidP="00D0039A" w:rsidRDefault="00E321BB" w14:paraId="66D6CE06" w14:textId="77777777">
            <w:pPr>
              <w:spacing w:after="0" w:line="259" w:lineRule="auto"/>
              <w:ind w:left="2" w:firstLine="0"/>
            </w:pPr>
            <w:r>
              <w:rPr>
                <w:b/>
              </w:rPr>
              <w:t xml:space="preserve">Policy Owner </w:t>
            </w:r>
            <w:r>
              <w:t xml:space="preserve">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321BB" w:rsidP="00D0039A" w:rsidRDefault="00E321BB" w14:paraId="59AAA00F" w14:textId="77777777">
            <w:pPr>
              <w:spacing w:after="0" w:line="259" w:lineRule="auto"/>
              <w:ind w:left="0" w:firstLine="0"/>
            </w:pPr>
            <w:r>
              <w:t xml:space="preserve">ELT </w:t>
            </w:r>
          </w:p>
        </w:tc>
      </w:tr>
      <w:tr w:rsidR="00E321BB" w:rsidTr="0558BF7D" w14:paraId="2A459E4E" w14:textId="77777777">
        <w:trPr>
          <w:trHeight w:val="295"/>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321BB" w:rsidP="00D0039A" w:rsidRDefault="00E321BB" w14:paraId="6D1C7525" w14:textId="77777777">
            <w:pPr>
              <w:spacing w:after="0" w:line="259" w:lineRule="auto"/>
              <w:ind w:left="2" w:firstLine="0"/>
            </w:pPr>
            <w:r>
              <w:rPr>
                <w:b/>
              </w:rPr>
              <w:t xml:space="preserve">Date of Authorisation </w:t>
            </w:r>
            <w:r>
              <w:t xml:space="preserve">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321BB" w:rsidP="00D0039A" w:rsidRDefault="00E321BB" w14:paraId="77C70CDE" w14:textId="1C40599A">
            <w:pPr>
              <w:spacing w:after="0" w:line="259" w:lineRule="auto"/>
              <w:ind w:left="0" w:firstLine="0"/>
            </w:pPr>
            <w:r w:rsidR="00E321BB">
              <w:rPr/>
              <w:t>September 2</w:t>
            </w:r>
            <w:r w:rsidR="17275ED9">
              <w:rPr/>
              <w:t>4</w:t>
            </w:r>
          </w:p>
        </w:tc>
      </w:tr>
      <w:tr w:rsidR="00E321BB" w:rsidTr="0558BF7D" w14:paraId="590572DA" w14:textId="77777777">
        <w:trPr>
          <w:trHeight w:val="574"/>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321BB" w:rsidP="00D0039A" w:rsidRDefault="00E321BB" w14:paraId="4BD6E157" w14:textId="77777777">
            <w:pPr>
              <w:spacing w:after="0" w:line="259" w:lineRule="auto"/>
              <w:ind w:left="2" w:firstLine="0"/>
            </w:pPr>
            <w:r>
              <w:rPr>
                <w:b/>
              </w:rPr>
              <w:t xml:space="preserve">Authorised by </w:t>
            </w:r>
            <w:r>
              <w:t xml:space="preserve">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321BB" w:rsidP="00D0039A" w:rsidRDefault="00E321BB" w14:paraId="0D8F99A1" w14:textId="77777777">
            <w:pPr>
              <w:spacing w:after="0" w:line="259" w:lineRule="auto"/>
              <w:ind w:left="0" w:right="31" w:firstLine="0"/>
            </w:pPr>
            <w:r>
              <w:t xml:space="preserve">Education and Quality Committee </w:t>
            </w:r>
          </w:p>
        </w:tc>
      </w:tr>
      <w:tr w:rsidR="00E321BB" w:rsidTr="0558BF7D" w14:paraId="18379B31" w14:textId="77777777">
        <w:trPr>
          <w:trHeight w:val="298"/>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321BB" w:rsidP="00D0039A" w:rsidRDefault="00E321BB" w14:paraId="41140C55" w14:textId="77777777">
            <w:pPr>
              <w:spacing w:after="0" w:line="259" w:lineRule="auto"/>
              <w:ind w:left="2" w:firstLine="0"/>
            </w:pPr>
            <w:r>
              <w:rPr>
                <w:b/>
              </w:rPr>
              <w:t xml:space="preserve">Date for Review </w:t>
            </w:r>
            <w:r>
              <w:t xml:space="preserve">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321BB" w:rsidP="00D0039A" w:rsidRDefault="00E321BB" w14:paraId="3929EB60" w14:textId="2689FE2B">
            <w:pPr>
              <w:spacing w:after="0" w:line="259" w:lineRule="auto"/>
              <w:ind w:left="0" w:firstLine="0"/>
            </w:pPr>
            <w:r w:rsidR="00E321BB">
              <w:rPr/>
              <w:t>September 2</w:t>
            </w:r>
            <w:r w:rsidR="2B4F1C5F">
              <w:rPr/>
              <w:t>5</w:t>
            </w:r>
          </w:p>
        </w:tc>
      </w:tr>
    </w:tbl>
    <w:p w:rsidR="00834CED" w:rsidRDefault="00834CED" w14:paraId="1CFC7401" w14:textId="65C11B2B">
      <w:pPr>
        <w:spacing w:after="0" w:line="259" w:lineRule="auto"/>
        <w:ind w:left="0" w:firstLine="0"/>
      </w:pPr>
    </w:p>
    <w:p w:rsidR="00834CED" w:rsidRDefault="00DC777C" w14:paraId="1BFB148B" w14:textId="77777777">
      <w:pPr>
        <w:spacing w:after="0" w:line="259" w:lineRule="auto"/>
        <w:ind w:left="0" w:firstLine="0"/>
      </w:pPr>
      <w:r>
        <w:t xml:space="preserve"> </w:t>
      </w:r>
    </w:p>
    <w:p w:rsidR="00834CED" w:rsidRDefault="00DC777C" w14:paraId="0A4FEB98" w14:textId="77777777">
      <w:pPr>
        <w:spacing w:after="0" w:line="259" w:lineRule="auto"/>
        <w:ind w:left="0" w:firstLine="0"/>
      </w:pPr>
      <w:r>
        <w:t xml:space="preserve"> </w:t>
      </w:r>
    </w:p>
    <w:p w:rsidR="00834CED" w:rsidRDefault="00DC777C" w14:paraId="370DEA8E" w14:textId="77777777">
      <w:pPr>
        <w:spacing w:after="0" w:line="259" w:lineRule="auto"/>
        <w:ind w:left="0" w:firstLine="0"/>
      </w:pPr>
      <w:r>
        <w:t xml:space="preserve"> </w:t>
      </w:r>
    </w:p>
    <w:p w:rsidR="00834CED" w:rsidRDefault="00DC777C" w14:paraId="2BEC163D" w14:textId="77777777">
      <w:pPr>
        <w:spacing w:after="218" w:line="259" w:lineRule="auto"/>
        <w:ind w:left="0" w:right="4452" w:firstLine="0"/>
        <w:jc w:val="right"/>
      </w:pPr>
      <w:r>
        <w:rPr>
          <w:color w:val="7030A0"/>
        </w:rPr>
        <w:t xml:space="preserve"> </w:t>
      </w:r>
    </w:p>
    <w:p w:rsidR="00834CED" w:rsidRDefault="00DC777C" w14:paraId="39418C82" w14:textId="77777777">
      <w:pPr>
        <w:spacing w:after="0" w:line="259" w:lineRule="auto"/>
        <w:ind w:left="0" w:right="932" w:firstLine="0"/>
        <w:jc w:val="both"/>
      </w:pPr>
      <w:r>
        <w:t xml:space="preserve"> </w:t>
      </w:r>
    </w:p>
    <w:p w:rsidR="00834CED" w:rsidRDefault="00DC777C" w14:paraId="22B82C46" w14:textId="77777777">
      <w:pPr>
        <w:spacing w:after="0" w:line="259" w:lineRule="auto"/>
        <w:ind w:left="0" w:firstLine="0"/>
      </w:pPr>
      <w:r>
        <w:t xml:space="preserve"> </w:t>
      </w:r>
      <w:r>
        <w:tab/>
      </w:r>
      <w:r>
        <w:t xml:space="preserve"> </w:t>
      </w:r>
    </w:p>
    <w:p w:rsidR="00E321BB" w:rsidRDefault="00E321BB" w14:paraId="587497A9" w14:textId="77777777">
      <w:pPr>
        <w:spacing w:after="160" w:line="259" w:lineRule="auto"/>
        <w:ind w:left="0" w:firstLine="0"/>
      </w:pPr>
      <w:r>
        <w:br w:type="page"/>
      </w:r>
    </w:p>
    <w:p w:rsidR="00834CED" w:rsidRDefault="00DC777C" w14:paraId="0E873321" w14:textId="6FB6F226">
      <w:pPr>
        <w:spacing w:after="221" w:line="259" w:lineRule="auto"/>
        <w:ind w:left="0" w:firstLine="0"/>
      </w:pPr>
      <w:r>
        <w:t xml:space="preserve"> </w:t>
      </w:r>
    </w:p>
    <w:sdt>
      <w:sdtPr>
        <w:id w:val="62842105"/>
        <w:docPartObj>
          <w:docPartGallery w:val="Table of Contents"/>
        </w:docPartObj>
      </w:sdtPr>
      <w:sdtEndPr/>
      <w:sdtContent>
        <w:p w:rsidR="00E863AE" w:rsidRDefault="00E863AE" w14:paraId="04EEFF7C" w14:textId="77777777">
          <w:pPr>
            <w:spacing w:after="206"/>
            <w:ind w:left="-5" w:right="7"/>
          </w:pPr>
        </w:p>
        <w:p w:rsidR="00834CED" w:rsidRDefault="00DC777C" w14:paraId="73C12737" w14:textId="606E5CE7">
          <w:pPr>
            <w:spacing w:after="206"/>
            <w:ind w:left="-5" w:right="7"/>
          </w:pPr>
          <w:r>
            <w:t xml:space="preserve">Contents </w:t>
          </w:r>
        </w:p>
        <w:p w:rsidR="00834CED" w:rsidRDefault="00DC777C" w14:paraId="540A6BF4" w14:textId="77777777">
          <w:pPr>
            <w:pStyle w:val="TOC1"/>
            <w:tabs>
              <w:tab w:val="right" w:leader="dot" w:pos="9031"/>
            </w:tabs>
          </w:pPr>
          <w:r>
            <w:fldChar w:fldCharType="begin"/>
          </w:r>
          <w:r>
            <w:instrText xml:space="preserve"> TOC \o "1-1" \h \z \u </w:instrText>
          </w:r>
          <w:r>
            <w:fldChar w:fldCharType="separate"/>
          </w:r>
          <w:hyperlink w:anchor="_Toc8183">
            <w:r>
              <w:t>Scope</w:t>
            </w:r>
            <w:r>
              <w:tab/>
            </w:r>
            <w:r>
              <w:fldChar w:fldCharType="begin"/>
            </w:r>
            <w:r>
              <w:instrText>PAGEREF _Toc8183 \h</w:instrText>
            </w:r>
            <w:r>
              <w:fldChar w:fldCharType="separate"/>
            </w:r>
            <w:r>
              <w:rPr>
                <w:noProof/>
              </w:rPr>
              <w:t xml:space="preserve">3 </w:t>
            </w:r>
            <w:r>
              <w:fldChar w:fldCharType="end"/>
            </w:r>
          </w:hyperlink>
        </w:p>
        <w:p w:rsidR="00834CED" w:rsidRDefault="00574D74" w14:paraId="2EDC5CF6" w14:textId="77777777">
          <w:pPr>
            <w:pStyle w:val="TOC1"/>
            <w:tabs>
              <w:tab w:val="right" w:leader="dot" w:pos="9031"/>
            </w:tabs>
          </w:pPr>
          <w:hyperlink w:anchor="_Toc8184">
            <w:r w:rsidR="00DC777C">
              <w:t>Aim</w:t>
            </w:r>
            <w:r w:rsidR="00DC777C">
              <w:tab/>
            </w:r>
            <w:r w:rsidR="00DC777C">
              <w:fldChar w:fldCharType="begin"/>
            </w:r>
            <w:r w:rsidR="00DC777C">
              <w:instrText>PAGEREF _Toc8184 \h</w:instrText>
            </w:r>
            <w:r w:rsidR="00DC777C">
              <w:fldChar w:fldCharType="separate"/>
            </w:r>
            <w:r w:rsidR="00DC777C">
              <w:rPr>
                <w:noProof/>
              </w:rPr>
              <w:t xml:space="preserve">3 </w:t>
            </w:r>
            <w:r w:rsidR="00DC777C">
              <w:fldChar w:fldCharType="end"/>
            </w:r>
          </w:hyperlink>
        </w:p>
        <w:p w:rsidR="00834CED" w:rsidRDefault="00574D74" w14:paraId="56E723BB" w14:textId="77777777">
          <w:pPr>
            <w:pStyle w:val="TOC1"/>
            <w:tabs>
              <w:tab w:val="right" w:leader="dot" w:pos="9031"/>
            </w:tabs>
          </w:pPr>
          <w:hyperlink w:anchor="_Toc8185">
            <w:r w:rsidR="00DC777C">
              <w:t>Special Educational Needs and Disabilities (SEND)</w:t>
            </w:r>
            <w:r w:rsidR="00DC777C">
              <w:tab/>
            </w:r>
            <w:r w:rsidR="00DC777C">
              <w:fldChar w:fldCharType="begin"/>
            </w:r>
            <w:r w:rsidR="00DC777C">
              <w:instrText>PAGEREF _Toc8185 \h</w:instrText>
            </w:r>
            <w:r w:rsidR="00DC777C">
              <w:fldChar w:fldCharType="separate"/>
            </w:r>
            <w:r w:rsidR="00DC777C">
              <w:rPr>
                <w:noProof/>
              </w:rPr>
              <w:t xml:space="preserve">3 </w:t>
            </w:r>
            <w:r w:rsidR="00DC777C">
              <w:fldChar w:fldCharType="end"/>
            </w:r>
          </w:hyperlink>
        </w:p>
        <w:p w:rsidR="00834CED" w:rsidRDefault="00574D74" w14:paraId="7C529904" w14:textId="77777777">
          <w:pPr>
            <w:pStyle w:val="TOC1"/>
            <w:tabs>
              <w:tab w:val="right" w:leader="dot" w:pos="9031"/>
            </w:tabs>
          </w:pPr>
          <w:hyperlink w:anchor="_Toc8186">
            <w:r w:rsidR="00DC777C">
              <w:t>Compliance</w:t>
            </w:r>
            <w:r w:rsidR="00DC777C">
              <w:tab/>
            </w:r>
            <w:r w:rsidR="00DC777C">
              <w:fldChar w:fldCharType="begin"/>
            </w:r>
            <w:r w:rsidR="00DC777C">
              <w:instrText>PAGEREF _Toc8186 \h</w:instrText>
            </w:r>
            <w:r w:rsidR="00DC777C">
              <w:fldChar w:fldCharType="separate"/>
            </w:r>
            <w:r w:rsidR="00DC777C">
              <w:rPr>
                <w:noProof/>
              </w:rPr>
              <w:t xml:space="preserve">3 </w:t>
            </w:r>
            <w:r w:rsidR="00DC777C">
              <w:fldChar w:fldCharType="end"/>
            </w:r>
          </w:hyperlink>
        </w:p>
        <w:p w:rsidR="00834CED" w:rsidRDefault="00574D74" w14:paraId="07C537BA" w14:textId="77777777">
          <w:pPr>
            <w:pStyle w:val="TOC1"/>
            <w:tabs>
              <w:tab w:val="right" w:leader="dot" w:pos="9031"/>
            </w:tabs>
          </w:pPr>
          <w:hyperlink w:anchor="_Toc8187">
            <w:r w:rsidR="00DC777C">
              <w:t>Equality Act (2010)</w:t>
            </w:r>
            <w:r w:rsidR="00DC777C">
              <w:tab/>
            </w:r>
            <w:r w:rsidR="00DC777C">
              <w:fldChar w:fldCharType="begin"/>
            </w:r>
            <w:r w:rsidR="00DC777C">
              <w:instrText>PAGEREF _Toc8187 \h</w:instrText>
            </w:r>
            <w:r w:rsidR="00DC777C">
              <w:fldChar w:fldCharType="separate"/>
            </w:r>
            <w:r w:rsidR="00DC777C">
              <w:rPr>
                <w:noProof/>
              </w:rPr>
              <w:t xml:space="preserve">4 </w:t>
            </w:r>
            <w:r w:rsidR="00DC777C">
              <w:fldChar w:fldCharType="end"/>
            </w:r>
          </w:hyperlink>
        </w:p>
        <w:p w:rsidR="00834CED" w:rsidRDefault="00574D74" w14:paraId="33F7850E" w14:textId="77777777">
          <w:pPr>
            <w:pStyle w:val="TOC1"/>
            <w:tabs>
              <w:tab w:val="right" w:leader="dot" w:pos="9031"/>
            </w:tabs>
          </w:pPr>
          <w:hyperlink w:anchor="_Toc8188">
            <w:r w:rsidR="00DC777C">
              <w:t>Support</w:t>
            </w:r>
            <w:r w:rsidR="00DC777C">
              <w:tab/>
            </w:r>
            <w:r w:rsidR="00DC777C">
              <w:fldChar w:fldCharType="begin"/>
            </w:r>
            <w:r w:rsidR="00DC777C">
              <w:instrText>PAGEREF _Toc8188 \h</w:instrText>
            </w:r>
            <w:r w:rsidR="00DC777C">
              <w:fldChar w:fldCharType="separate"/>
            </w:r>
            <w:r w:rsidR="00DC777C">
              <w:rPr>
                <w:noProof/>
              </w:rPr>
              <w:t xml:space="preserve">4 </w:t>
            </w:r>
            <w:r w:rsidR="00DC777C">
              <w:fldChar w:fldCharType="end"/>
            </w:r>
          </w:hyperlink>
        </w:p>
        <w:p w:rsidR="00834CED" w:rsidRDefault="00574D74" w14:paraId="39B8438D" w14:textId="77777777">
          <w:pPr>
            <w:pStyle w:val="TOC1"/>
            <w:tabs>
              <w:tab w:val="right" w:leader="dot" w:pos="9031"/>
            </w:tabs>
          </w:pPr>
          <w:hyperlink w:anchor="_Toc8189">
            <w:r w:rsidR="00DC777C">
              <w:t>Process</w:t>
            </w:r>
            <w:r w:rsidR="00DC777C">
              <w:tab/>
            </w:r>
            <w:r w:rsidR="00DC777C">
              <w:fldChar w:fldCharType="begin"/>
            </w:r>
            <w:r w:rsidR="00DC777C">
              <w:instrText>PAGEREF _Toc8189 \h</w:instrText>
            </w:r>
            <w:r w:rsidR="00DC777C">
              <w:fldChar w:fldCharType="separate"/>
            </w:r>
            <w:r w:rsidR="00DC777C">
              <w:rPr>
                <w:noProof/>
              </w:rPr>
              <w:t xml:space="preserve">4 </w:t>
            </w:r>
            <w:r w:rsidR="00DC777C">
              <w:fldChar w:fldCharType="end"/>
            </w:r>
          </w:hyperlink>
        </w:p>
        <w:p w:rsidR="00834CED" w:rsidRDefault="00574D74" w14:paraId="6D044D6A" w14:textId="77777777">
          <w:pPr>
            <w:pStyle w:val="TOC1"/>
            <w:tabs>
              <w:tab w:val="right" w:leader="dot" w:pos="9031"/>
            </w:tabs>
          </w:pPr>
          <w:hyperlink w:anchor="_Toc8190">
            <w:r w:rsidR="00DC777C">
              <w:t>Assessment</w:t>
            </w:r>
            <w:r w:rsidR="00DC777C">
              <w:tab/>
            </w:r>
            <w:r w:rsidR="00DC777C">
              <w:fldChar w:fldCharType="begin"/>
            </w:r>
            <w:r w:rsidR="00DC777C">
              <w:instrText>PAGEREF _Toc8190 \h</w:instrText>
            </w:r>
            <w:r w:rsidR="00DC777C">
              <w:fldChar w:fldCharType="separate"/>
            </w:r>
            <w:r w:rsidR="00DC777C">
              <w:rPr>
                <w:noProof/>
              </w:rPr>
              <w:t xml:space="preserve">5 </w:t>
            </w:r>
            <w:r w:rsidR="00DC777C">
              <w:fldChar w:fldCharType="end"/>
            </w:r>
          </w:hyperlink>
        </w:p>
        <w:p w:rsidR="00834CED" w:rsidRDefault="00574D74" w14:paraId="591AC980" w14:textId="77777777">
          <w:pPr>
            <w:pStyle w:val="TOC1"/>
            <w:tabs>
              <w:tab w:val="right" w:leader="dot" w:pos="9031"/>
            </w:tabs>
          </w:pPr>
          <w:hyperlink w:anchor="_Toc8191">
            <w:r w:rsidR="00DC777C">
              <w:t>Education Health and Care Plans (EHCPs)</w:t>
            </w:r>
            <w:r w:rsidR="00DC777C">
              <w:tab/>
            </w:r>
            <w:r w:rsidR="00DC777C">
              <w:fldChar w:fldCharType="begin"/>
            </w:r>
            <w:r w:rsidR="00DC777C">
              <w:instrText>PAGEREF _Toc8191 \h</w:instrText>
            </w:r>
            <w:r w:rsidR="00DC777C">
              <w:fldChar w:fldCharType="separate"/>
            </w:r>
            <w:r w:rsidR="00DC777C">
              <w:rPr>
                <w:noProof/>
              </w:rPr>
              <w:t xml:space="preserve">5 </w:t>
            </w:r>
            <w:r w:rsidR="00DC777C">
              <w:fldChar w:fldCharType="end"/>
            </w:r>
          </w:hyperlink>
        </w:p>
        <w:p w:rsidR="00834CED" w:rsidRDefault="00574D74" w14:paraId="73B12636" w14:textId="77777777">
          <w:pPr>
            <w:pStyle w:val="TOC1"/>
            <w:tabs>
              <w:tab w:val="right" w:leader="dot" w:pos="9031"/>
            </w:tabs>
          </w:pPr>
          <w:hyperlink w:anchor="_Toc8192">
            <w:r w:rsidR="00DC777C">
              <w:t>Funding (refer to ESFA AEB Funding Rules 20/21 for detail)</w:t>
            </w:r>
            <w:r w:rsidR="00DC777C">
              <w:tab/>
            </w:r>
            <w:r w:rsidR="00DC777C">
              <w:fldChar w:fldCharType="begin"/>
            </w:r>
            <w:r w:rsidR="00DC777C">
              <w:instrText>PAGEREF _Toc8192 \h</w:instrText>
            </w:r>
            <w:r w:rsidR="00DC777C">
              <w:fldChar w:fldCharType="separate"/>
            </w:r>
            <w:r w:rsidR="00DC777C">
              <w:rPr>
                <w:noProof/>
              </w:rPr>
              <w:t xml:space="preserve">6 </w:t>
            </w:r>
            <w:r w:rsidR="00DC777C">
              <w:fldChar w:fldCharType="end"/>
            </w:r>
          </w:hyperlink>
        </w:p>
        <w:p w:rsidR="00834CED" w:rsidRDefault="00574D74" w14:paraId="6E13E957" w14:textId="77777777">
          <w:pPr>
            <w:pStyle w:val="TOC1"/>
            <w:tabs>
              <w:tab w:val="right" w:leader="dot" w:pos="9031"/>
            </w:tabs>
          </w:pPr>
          <w:hyperlink w:anchor="_Toc8193">
            <w:r w:rsidR="00DC777C">
              <w:t>Exceptional learning support (ELS) - claims above £19,000</w:t>
            </w:r>
            <w:r w:rsidR="00DC777C">
              <w:tab/>
            </w:r>
            <w:r w:rsidR="00DC777C">
              <w:fldChar w:fldCharType="begin"/>
            </w:r>
            <w:r w:rsidR="00DC777C">
              <w:instrText>PAGEREF _Toc8193 \h</w:instrText>
            </w:r>
            <w:r w:rsidR="00DC777C">
              <w:fldChar w:fldCharType="separate"/>
            </w:r>
            <w:r w:rsidR="00DC777C">
              <w:rPr>
                <w:noProof/>
              </w:rPr>
              <w:t xml:space="preserve">6 </w:t>
            </w:r>
            <w:r w:rsidR="00DC777C">
              <w:fldChar w:fldCharType="end"/>
            </w:r>
          </w:hyperlink>
        </w:p>
        <w:p w:rsidR="00834CED" w:rsidRDefault="00574D74" w14:paraId="0CEB9509" w14:textId="77777777">
          <w:pPr>
            <w:pStyle w:val="TOC1"/>
            <w:tabs>
              <w:tab w:val="right" w:leader="dot" w:pos="9031"/>
            </w:tabs>
          </w:pPr>
          <w:hyperlink w:anchor="_Toc8194">
            <w:r w:rsidR="00DC777C">
              <w:t>Learner support</w:t>
            </w:r>
            <w:r w:rsidR="00DC777C">
              <w:tab/>
            </w:r>
            <w:r w:rsidR="00DC777C">
              <w:fldChar w:fldCharType="begin"/>
            </w:r>
            <w:r w:rsidR="00DC777C">
              <w:instrText>PAGEREF _Toc8194 \h</w:instrText>
            </w:r>
            <w:r w:rsidR="00DC777C">
              <w:fldChar w:fldCharType="separate"/>
            </w:r>
            <w:r w:rsidR="00DC777C">
              <w:rPr>
                <w:noProof/>
              </w:rPr>
              <w:t xml:space="preserve">6 </w:t>
            </w:r>
            <w:r w:rsidR="00DC777C">
              <w:fldChar w:fldCharType="end"/>
            </w:r>
          </w:hyperlink>
        </w:p>
        <w:p w:rsidR="00834CED" w:rsidRDefault="00574D74" w14:paraId="44C1396F" w14:textId="77777777">
          <w:pPr>
            <w:pStyle w:val="TOC1"/>
            <w:tabs>
              <w:tab w:val="right" w:leader="dot" w:pos="9031"/>
            </w:tabs>
          </w:pPr>
          <w:hyperlink w:anchor="_Toc8195">
            <w:r w:rsidR="00DC777C">
              <w:t>Intervention</w:t>
            </w:r>
            <w:r w:rsidR="00DC777C">
              <w:tab/>
            </w:r>
            <w:r w:rsidR="00DC777C">
              <w:fldChar w:fldCharType="begin"/>
            </w:r>
            <w:r w:rsidR="00DC777C">
              <w:instrText>PAGEREF _Toc8195 \h</w:instrText>
            </w:r>
            <w:r w:rsidR="00DC777C">
              <w:fldChar w:fldCharType="separate"/>
            </w:r>
            <w:r w:rsidR="00DC777C">
              <w:rPr>
                <w:noProof/>
              </w:rPr>
              <w:t xml:space="preserve">7 </w:t>
            </w:r>
            <w:r w:rsidR="00DC777C">
              <w:fldChar w:fldCharType="end"/>
            </w:r>
          </w:hyperlink>
        </w:p>
        <w:p w:rsidR="00834CED" w:rsidRDefault="00574D74" w14:paraId="43C535E2" w14:textId="77777777">
          <w:pPr>
            <w:pStyle w:val="TOC1"/>
            <w:tabs>
              <w:tab w:val="right" w:leader="dot" w:pos="9031"/>
            </w:tabs>
          </w:pPr>
          <w:hyperlink w:anchor="_Toc8196">
            <w:r w:rsidR="00DC777C">
              <w:t>Reasonable Adjustments</w:t>
            </w:r>
            <w:r w:rsidR="00DC777C">
              <w:tab/>
            </w:r>
            <w:r w:rsidR="00DC777C">
              <w:fldChar w:fldCharType="begin"/>
            </w:r>
            <w:r w:rsidR="00DC777C">
              <w:instrText>PAGEREF _Toc8196 \h</w:instrText>
            </w:r>
            <w:r w:rsidR="00DC777C">
              <w:fldChar w:fldCharType="separate"/>
            </w:r>
            <w:r w:rsidR="00DC777C">
              <w:rPr>
                <w:noProof/>
              </w:rPr>
              <w:t xml:space="preserve">7 </w:t>
            </w:r>
            <w:r w:rsidR="00DC777C">
              <w:fldChar w:fldCharType="end"/>
            </w:r>
          </w:hyperlink>
        </w:p>
        <w:p w:rsidR="00834CED" w:rsidRDefault="00574D74" w14:paraId="7FB101C7" w14:textId="77777777">
          <w:pPr>
            <w:pStyle w:val="TOC1"/>
            <w:tabs>
              <w:tab w:val="right" w:leader="dot" w:pos="9031"/>
            </w:tabs>
          </w:pPr>
          <w:hyperlink w:anchor="_Toc8197">
            <w:r w:rsidR="00DC777C">
              <w:t>Training and Development</w:t>
            </w:r>
            <w:r w:rsidR="00DC777C">
              <w:tab/>
            </w:r>
            <w:r w:rsidR="00DC777C">
              <w:fldChar w:fldCharType="begin"/>
            </w:r>
            <w:r w:rsidR="00DC777C">
              <w:instrText>PAGEREF _Toc8197 \h</w:instrText>
            </w:r>
            <w:r w:rsidR="00DC777C">
              <w:fldChar w:fldCharType="separate"/>
            </w:r>
            <w:r w:rsidR="00DC777C">
              <w:rPr>
                <w:noProof/>
              </w:rPr>
              <w:t xml:space="preserve">7 </w:t>
            </w:r>
            <w:r w:rsidR="00DC777C">
              <w:fldChar w:fldCharType="end"/>
            </w:r>
          </w:hyperlink>
        </w:p>
        <w:p w:rsidR="00834CED" w:rsidRDefault="00DC777C" w14:paraId="449E37F6" w14:textId="77777777">
          <w:r>
            <w:fldChar w:fldCharType="end"/>
          </w:r>
        </w:p>
      </w:sdtContent>
    </w:sdt>
    <w:p w:rsidR="00E321BB" w:rsidRDefault="00DC777C" w14:paraId="541D66A8" w14:textId="77777777">
      <w:pPr>
        <w:pStyle w:val="Heading1"/>
        <w:spacing w:after="279" w:line="363" w:lineRule="auto"/>
        <w:ind w:left="-5" w:right="-2"/>
        <w:jc w:val="both"/>
        <w:rPr>
          <w:color w:val="000000"/>
        </w:rPr>
      </w:pPr>
      <w:bookmarkStart w:name="_Toc8183" w:id="0"/>
      <w:r>
        <w:rPr>
          <w:color w:val="000000"/>
        </w:rPr>
        <w:t xml:space="preserve"> </w:t>
      </w:r>
    </w:p>
    <w:p w:rsidR="00E321BB" w:rsidRDefault="00E321BB" w14:paraId="7667FF21" w14:textId="77777777">
      <w:pPr>
        <w:spacing w:after="160" w:line="259" w:lineRule="auto"/>
        <w:ind w:left="0" w:firstLine="0"/>
      </w:pPr>
      <w:r>
        <w:br w:type="page"/>
      </w:r>
    </w:p>
    <w:p w:rsidR="00834CED" w:rsidRDefault="00DC777C" w14:paraId="04D5BE33" w14:textId="06F815C6">
      <w:pPr>
        <w:pStyle w:val="Heading1"/>
        <w:spacing w:after="279" w:line="363" w:lineRule="auto"/>
        <w:ind w:left="-5" w:right="-2"/>
        <w:jc w:val="both"/>
      </w:pPr>
      <w:r>
        <w:t xml:space="preserve">Scope </w:t>
      </w:r>
      <w:bookmarkEnd w:id="0"/>
    </w:p>
    <w:p w:rsidR="00834CED" w:rsidRDefault="00DC777C" w14:paraId="16EE583D" w14:textId="77777777">
      <w:pPr>
        <w:spacing w:after="245"/>
        <w:ind w:left="-5" w:right="7"/>
      </w:pPr>
      <w:r>
        <w:t xml:space="preserve">This policy applies: </w:t>
      </w:r>
    </w:p>
    <w:p w:rsidR="00834CED" w:rsidRDefault="00DC777C" w14:paraId="50BBC7FE" w14:textId="77777777">
      <w:pPr>
        <w:spacing w:after="279" w:line="240" w:lineRule="auto"/>
        <w:ind w:left="-5" w:right="-2"/>
        <w:jc w:val="both"/>
      </w:pPr>
      <w:r>
        <w:t xml:space="preserve">To all members of the board, staff; students in the course in their activities as students of Blackburne House in relation to their activities and to all third parties who are retained by Blackburne House to perform services for or on behalf of the Organisation including contractors, agents, associates, subsidiaries, joint venture and consortium partners.  </w:t>
      </w:r>
    </w:p>
    <w:p w:rsidR="00834CED" w:rsidRDefault="00DC777C" w14:paraId="4EF43F14" w14:textId="77777777">
      <w:pPr>
        <w:pStyle w:val="Heading1"/>
        <w:ind w:left="-5" w:right="0"/>
      </w:pPr>
      <w:bookmarkStart w:name="_Toc8184" w:id="1"/>
      <w:r>
        <w:t>Aim</w:t>
      </w:r>
      <w:r>
        <w:rPr>
          <w:color w:val="365F91"/>
        </w:rPr>
        <w:t xml:space="preserve">  </w:t>
      </w:r>
      <w:bookmarkEnd w:id="1"/>
    </w:p>
    <w:p w:rsidR="00834CED" w:rsidRDefault="00DC777C" w14:paraId="0B24BA03" w14:textId="77777777">
      <w:pPr>
        <w:spacing w:after="0" w:line="259" w:lineRule="auto"/>
        <w:ind w:left="0" w:firstLine="0"/>
      </w:pPr>
      <w:r>
        <w:rPr>
          <w:color w:val="3A3F4E"/>
        </w:rPr>
        <w:t xml:space="preserve"> </w:t>
      </w:r>
    </w:p>
    <w:p w:rsidR="00834CED" w:rsidRDefault="00DC777C" w14:paraId="1B00AD1B" w14:textId="77777777">
      <w:pPr>
        <w:spacing w:after="279" w:line="240" w:lineRule="auto"/>
        <w:ind w:left="-5" w:right="-2"/>
        <w:jc w:val="both"/>
      </w:pPr>
      <w:r>
        <w:t xml:space="preserve">In conjunction with the SEND strategy, Blackburne House will ensure that learners with barriers to learning are enabled to access and engage in learning, achieve their aspirations and goals, and make progress and fulfil their potential. It is Blackburne House’s intent to ensure we are an inclusive provider, through the implementation of an effective support function for SEND learners. The impact will be that Blackburne House offers equal opportunity to achieve. </w:t>
      </w:r>
    </w:p>
    <w:p w:rsidR="00834CED" w:rsidRDefault="00DC777C" w14:paraId="03FD9823" w14:textId="77777777">
      <w:pPr>
        <w:pStyle w:val="Heading1"/>
        <w:ind w:left="-5" w:right="0"/>
      </w:pPr>
      <w:bookmarkStart w:name="_Toc8185" w:id="2"/>
      <w:r>
        <w:t xml:space="preserve">Special Educational Needs and Disabilities (SEND) </w:t>
      </w:r>
      <w:bookmarkEnd w:id="2"/>
    </w:p>
    <w:p w:rsidR="00834CED" w:rsidRDefault="00DC777C" w14:paraId="32C23A73" w14:textId="77777777">
      <w:pPr>
        <w:spacing w:after="0" w:line="259" w:lineRule="auto"/>
        <w:ind w:left="0" w:firstLine="0"/>
      </w:pPr>
      <w:r>
        <w:rPr>
          <w:color w:val="3A3F4E"/>
        </w:rPr>
        <w:t xml:space="preserve"> </w:t>
      </w:r>
    </w:p>
    <w:p w:rsidR="00834CED" w:rsidRDefault="00DC777C" w14:paraId="60492F68" w14:textId="77777777">
      <w:pPr>
        <w:ind w:left="-5" w:right="7"/>
      </w:pPr>
      <w:r>
        <w:t xml:space="preserve">SEND is the overarching term used for learners with a </w:t>
      </w:r>
      <w:r>
        <w:rPr>
          <w:b/>
        </w:rPr>
        <w:t>S</w:t>
      </w:r>
      <w:r>
        <w:t xml:space="preserve">pecial </w:t>
      </w:r>
      <w:r>
        <w:rPr>
          <w:b/>
        </w:rPr>
        <w:t>E</w:t>
      </w:r>
      <w:r>
        <w:t xml:space="preserve">ducational </w:t>
      </w:r>
      <w:r>
        <w:rPr>
          <w:b/>
        </w:rPr>
        <w:t>N</w:t>
      </w:r>
      <w:r>
        <w:t xml:space="preserve">eed and/or </w:t>
      </w:r>
      <w:r>
        <w:rPr>
          <w:b/>
        </w:rPr>
        <w:t>D</w:t>
      </w:r>
      <w:r>
        <w:t xml:space="preserve">isability. </w:t>
      </w:r>
    </w:p>
    <w:p w:rsidR="00834CED" w:rsidRDefault="00DC777C" w14:paraId="72AC9C9E" w14:textId="77777777">
      <w:pPr>
        <w:spacing w:after="20" w:line="259" w:lineRule="auto"/>
        <w:ind w:left="0" w:firstLine="0"/>
      </w:pPr>
      <w:r>
        <w:t xml:space="preserve"> </w:t>
      </w:r>
    </w:p>
    <w:p w:rsidR="00834CED" w:rsidRDefault="00DC777C" w14:paraId="6301528E" w14:textId="77777777">
      <w:pPr>
        <w:ind w:left="-5" w:right="7"/>
      </w:pPr>
      <w:r>
        <w:t xml:space="preserve">This includes learners who have a diagnosed Learning Difficulty and/or Disability – LDD, Dyslexia, Dyscalculia, Autistic Spectrum Conditions, mobility and dexterity, hearing impairment or ADHD. </w:t>
      </w:r>
    </w:p>
    <w:p w:rsidR="00834CED" w:rsidRDefault="00DC777C" w14:paraId="44C906D9" w14:textId="77777777">
      <w:pPr>
        <w:spacing w:after="0" w:line="259" w:lineRule="auto"/>
        <w:ind w:left="0" w:firstLine="0"/>
      </w:pPr>
      <w:r>
        <w:t xml:space="preserve">  </w:t>
      </w:r>
    </w:p>
    <w:p w:rsidR="00834CED" w:rsidRDefault="00DC777C" w14:paraId="6F1896EF" w14:textId="77777777">
      <w:pPr>
        <w:ind w:left="-5" w:right="7"/>
      </w:pPr>
      <w:r>
        <w:t xml:space="preserve">These learners could have a: </w:t>
      </w:r>
    </w:p>
    <w:p w:rsidR="00834CED" w:rsidRDefault="00DC777C" w14:paraId="1D634271" w14:textId="77777777">
      <w:pPr>
        <w:spacing w:after="0" w:line="259" w:lineRule="auto"/>
        <w:ind w:left="0" w:firstLine="0"/>
      </w:pPr>
      <w:r>
        <w:t xml:space="preserve"> </w:t>
      </w:r>
    </w:p>
    <w:p w:rsidR="00834CED" w:rsidRDefault="00DC777C" w14:paraId="03F8A705" w14:textId="77777777">
      <w:pPr>
        <w:numPr>
          <w:ilvl w:val="0"/>
          <w:numId w:val="1"/>
        </w:numPr>
        <w:ind w:right="7" w:hanging="360"/>
      </w:pPr>
      <w:r>
        <w:t xml:space="preserve">Statement of Educational Needs (SENs)  </w:t>
      </w:r>
    </w:p>
    <w:p w:rsidR="00834CED" w:rsidRDefault="00DC777C" w14:paraId="752C269B" w14:textId="77777777">
      <w:pPr>
        <w:numPr>
          <w:ilvl w:val="0"/>
          <w:numId w:val="1"/>
        </w:numPr>
        <w:ind w:right="7" w:hanging="360"/>
      </w:pPr>
      <w:r>
        <w:t xml:space="preserve">Learning Difficulty Assessments (LDAs) or  </w:t>
      </w:r>
    </w:p>
    <w:p w:rsidR="00834CED" w:rsidRDefault="00DC777C" w14:paraId="39D20690" w14:textId="77777777">
      <w:pPr>
        <w:numPr>
          <w:ilvl w:val="0"/>
          <w:numId w:val="1"/>
        </w:numPr>
        <w:ind w:right="7" w:hanging="360"/>
      </w:pPr>
      <w:r>
        <w:t xml:space="preserve">Education Health and Care Plans (EHCPs). </w:t>
      </w:r>
    </w:p>
    <w:p w:rsidR="00834CED" w:rsidRDefault="00DC777C" w14:paraId="49529EB3" w14:textId="77777777">
      <w:pPr>
        <w:spacing w:after="0" w:line="259" w:lineRule="auto"/>
        <w:ind w:left="0" w:firstLine="0"/>
      </w:pPr>
      <w:r>
        <w:t xml:space="preserve"> </w:t>
      </w:r>
    </w:p>
    <w:p w:rsidR="00834CED" w:rsidRDefault="00DC777C" w14:paraId="019F1172" w14:textId="77777777">
      <w:pPr>
        <w:spacing w:after="245"/>
        <w:ind w:left="-5" w:right="7"/>
      </w:pPr>
      <w:r>
        <w:t xml:space="preserve">However, it also refers to those with a diagnosed LDD but without SENs, LDAs, or EHCPs, and those with an undiagnosed LDD – a Learning Need (LN). </w:t>
      </w:r>
    </w:p>
    <w:p w:rsidR="00834CED" w:rsidRDefault="00DC777C" w14:paraId="4E6D02C7" w14:textId="77777777">
      <w:pPr>
        <w:pStyle w:val="Heading1"/>
        <w:ind w:left="-5" w:right="0"/>
      </w:pPr>
      <w:bookmarkStart w:name="_Toc8186" w:id="3"/>
      <w:r>
        <w:t xml:space="preserve">Compliance </w:t>
      </w:r>
      <w:bookmarkEnd w:id="3"/>
    </w:p>
    <w:p w:rsidR="00834CED" w:rsidRDefault="00DC777C" w14:paraId="47106742" w14:textId="77777777">
      <w:pPr>
        <w:spacing w:after="0" w:line="259" w:lineRule="auto"/>
        <w:ind w:left="0" w:firstLine="0"/>
      </w:pPr>
      <w:r>
        <w:rPr>
          <w:color w:val="3A3F4E"/>
        </w:rPr>
        <w:t xml:space="preserve"> </w:t>
      </w:r>
    </w:p>
    <w:p w:rsidR="00834CED" w:rsidRDefault="00DC777C" w14:paraId="5B56218C" w14:textId="77777777">
      <w:pPr>
        <w:spacing w:after="38"/>
        <w:ind w:left="-5" w:right="7"/>
      </w:pPr>
      <w:r>
        <w:t xml:space="preserve">Blackburne House is compliant with the SEND Code of Practice (2015), Equality Act 2010, and Ofsted’s Education Inspection Framework (2021). </w:t>
      </w:r>
    </w:p>
    <w:p w:rsidR="00834CED" w:rsidRDefault="00DC777C" w14:paraId="1251D825" w14:textId="77777777">
      <w:pPr>
        <w:spacing w:after="0" w:line="259" w:lineRule="auto"/>
        <w:ind w:left="0" w:firstLine="0"/>
      </w:pPr>
      <w:r>
        <w:rPr>
          <w:b/>
          <w:color w:val="0F111D"/>
        </w:rPr>
        <w:t xml:space="preserve"> </w:t>
      </w:r>
    </w:p>
    <w:p w:rsidR="00834CED" w:rsidRDefault="00DC777C" w14:paraId="68DDC693" w14:textId="77777777">
      <w:pPr>
        <w:spacing w:after="0" w:line="259" w:lineRule="auto"/>
        <w:ind w:left="-5"/>
      </w:pPr>
      <w:r>
        <w:rPr>
          <w:b/>
          <w:color w:val="0F111D"/>
        </w:rPr>
        <w:t xml:space="preserve">SEND Code of Practice (2015)  </w:t>
      </w:r>
    </w:p>
    <w:p w:rsidR="00834CED" w:rsidRDefault="00DC777C" w14:paraId="1F17EC04" w14:textId="77777777">
      <w:pPr>
        <w:spacing w:after="0" w:line="259" w:lineRule="auto"/>
        <w:ind w:left="0" w:firstLine="0"/>
      </w:pPr>
      <w:r>
        <w:rPr>
          <w:color w:val="3A3F4E"/>
        </w:rPr>
        <w:t xml:space="preserve"> </w:t>
      </w:r>
    </w:p>
    <w:p w:rsidR="00834CED" w:rsidRDefault="00DC777C" w14:paraId="73C61D88" w14:textId="77777777">
      <w:pPr>
        <w:ind w:left="-5" w:right="7"/>
      </w:pPr>
      <w:r>
        <w:t xml:space="preserve">It is our statutory duty to identify, assess and provide support for young people with SEND:  </w:t>
      </w:r>
    </w:p>
    <w:p w:rsidR="00834CED" w:rsidRDefault="00DC777C" w14:paraId="1267E092" w14:textId="77777777">
      <w:pPr>
        <w:spacing w:after="0" w:line="259" w:lineRule="auto"/>
        <w:ind w:left="0" w:firstLine="0"/>
      </w:pPr>
      <w:r>
        <w:t xml:space="preserve"> </w:t>
      </w:r>
    </w:p>
    <w:p w:rsidR="00834CED" w:rsidP="00DC777C" w:rsidRDefault="00DC777C" w14:paraId="361F05C0" w14:textId="77777777">
      <w:pPr>
        <w:numPr>
          <w:ilvl w:val="0"/>
          <w:numId w:val="1"/>
        </w:numPr>
        <w:ind w:right="7" w:hanging="360"/>
      </w:pPr>
      <w:r>
        <w:t xml:space="preserve">To co-operate with the local authority on arrangements for children and young people with SEND. </w:t>
      </w:r>
    </w:p>
    <w:p w:rsidR="00834CED" w:rsidP="00DC777C" w:rsidRDefault="00DC777C" w14:paraId="5F2C5FE1" w14:textId="77777777">
      <w:pPr>
        <w:numPr>
          <w:ilvl w:val="0"/>
          <w:numId w:val="1"/>
        </w:numPr>
        <w:ind w:right="7" w:hanging="360"/>
      </w:pPr>
      <w:r>
        <w:t xml:space="preserve">To admit a young person if the institution is named in an EHC plan.  </w:t>
      </w:r>
    </w:p>
    <w:p w:rsidR="00834CED" w:rsidP="00DC777C" w:rsidRDefault="00DC777C" w14:paraId="44671F5E" w14:textId="77777777">
      <w:pPr>
        <w:numPr>
          <w:ilvl w:val="0"/>
          <w:numId w:val="1"/>
        </w:numPr>
        <w:ind w:right="7" w:hanging="360"/>
      </w:pPr>
      <w:r>
        <w:t xml:space="preserve">To have regard to the Code of Practice.  </w:t>
      </w:r>
    </w:p>
    <w:p w:rsidR="00834CED" w:rsidP="00DC777C" w:rsidRDefault="00DC777C" w14:paraId="432B30D1" w14:textId="77777777">
      <w:pPr>
        <w:numPr>
          <w:ilvl w:val="0"/>
          <w:numId w:val="1"/>
        </w:numPr>
        <w:ind w:right="7" w:hanging="360"/>
      </w:pPr>
      <w:r>
        <w:t xml:space="preserve">To use best endeavours to secure the special educational provision that the young person needs. </w:t>
      </w:r>
    </w:p>
    <w:p w:rsidR="00834CED" w:rsidRDefault="00DC777C" w14:paraId="6AFC8955" w14:textId="77777777">
      <w:pPr>
        <w:spacing w:after="0" w:line="259" w:lineRule="auto"/>
        <w:ind w:left="0" w:firstLine="0"/>
      </w:pPr>
      <w:r>
        <w:t xml:space="preserve"> </w:t>
      </w:r>
    </w:p>
    <w:p w:rsidR="00834CED" w:rsidRDefault="00834CED" w14:paraId="68BCCCA9" w14:textId="18B49E77">
      <w:pPr>
        <w:spacing w:after="218" w:line="259" w:lineRule="auto"/>
        <w:ind w:left="0" w:firstLine="0"/>
      </w:pPr>
    </w:p>
    <w:p w:rsidR="00834CED" w:rsidRDefault="00DC777C" w14:paraId="2E0454A0" w14:textId="77777777">
      <w:pPr>
        <w:pStyle w:val="Heading1"/>
        <w:ind w:left="-5" w:right="0"/>
      </w:pPr>
      <w:bookmarkStart w:name="_Toc8187" w:id="4"/>
      <w:r>
        <w:t xml:space="preserve">Equality Act (2010) </w:t>
      </w:r>
      <w:bookmarkEnd w:id="4"/>
    </w:p>
    <w:p w:rsidR="00834CED" w:rsidRDefault="00DC777C" w14:paraId="772F40CF" w14:textId="77777777">
      <w:pPr>
        <w:spacing w:after="0" w:line="259" w:lineRule="auto"/>
        <w:ind w:left="0" w:firstLine="0"/>
      </w:pPr>
      <w:r>
        <w:rPr>
          <w:color w:val="3A3F4E"/>
        </w:rPr>
        <w:t xml:space="preserve"> </w:t>
      </w:r>
    </w:p>
    <w:p w:rsidR="00834CED" w:rsidP="00E863AE" w:rsidRDefault="00DC777C" w14:paraId="373D28AB" w14:textId="2316A9C4">
      <w:pPr>
        <w:spacing w:after="25"/>
        <w:ind w:left="-5" w:right="7"/>
      </w:pPr>
      <w:r>
        <w:t xml:space="preserve">Many of these learners may have a disability/difficulty under the Equality Act 2010 – </w:t>
      </w:r>
      <w:r w:rsidR="005B3130">
        <w:t>that is</w:t>
      </w:r>
      <w:r>
        <w:t xml:space="preserve"> …a physical or mental impairment that has a long-term and substantial adverse effect on their ability to carry out normal day-to-day activities.  </w:t>
      </w:r>
    </w:p>
    <w:p w:rsidR="00834CED" w:rsidRDefault="00DC777C" w14:paraId="404DFCB7" w14:textId="77777777">
      <w:pPr>
        <w:spacing w:after="0" w:line="259" w:lineRule="auto"/>
        <w:ind w:left="0" w:firstLine="0"/>
      </w:pPr>
      <w:r>
        <w:rPr>
          <w:b/>
          <w:color w:val="0F111D"/>
        </w:rPr>
        <w:t xml:space="preserve"> </w:t>
      </w:r>
    </w:p>
    <w:p w:rsidR="00834CED" w:rsidRDefault="00DC777C" w14:paraId="0AE4D518" w14:textId="1E152AD0">
      <w:pPr>
        <w:spacing w:after="0" w:line="259" w:lineRule="auto"/>
        <w:ind w:left="-5"/>
        <w:rPr>
          <w:b/>
          <w:color w:val="0F111D"/>
        </w:rPr>
      </w:pPr>
      <w:r>
        <w:rPr>
          <w:b/>
          <w:color w:val="0F111D"/>
        </w:rPr>
        <w:t>Ofsted Education Inspection Framework (202</w:t>
      </w:r>
      <w:r w:rsidR="005B3130">
        <w:rPr>
          <w:b/>
          <w:color w:val="0F111D"/>
        </w:rPr>
        <w:t>3</w:t>
      </w:r>
      <w:r>
        <w:rPr>
          <w:b/>
          <w:color w:val="0F111D"/>
        </w:rPr>
        <w:t xml:space="preserve">) </w:t>
      </w:r>
    </w:p>
    <w:p w:rsidR="005B3130" w:rsidRDefault="005B3130" w14:paraId="060D704A" w14:textId="77777777">
      <w:pPr>
        <w:spacing w:after="0" w:line="259" w:lineRule="auto"/>
        <w:ind w:left="-5"/>
        <w:rPr>
          <w:b/>
          <w:color w:val="0F111D"/>
        </w:rPr>
      </w:pPr>
    </w:p>
    <w:p w:rsidR="00834CED" w:rsidRDefault="00DC777C" w14:paraId="07CFC0AE" w14:textId="77777777">
      <w:pPr>
        <w:spacing w:after="0" w:line="259" w:lineRule="auto"/>
        <w:ind w:left="0" w:firstLine="0"/>
      </w:pPr>
      <w:r>
        <w:t xml:space="preserve"> </w:t>
      </w:r>
    </w:p>
    <w:p w:rsidR="00834CED" w:rsidRDefault="00DC777C" w14:paraId="481F8736" w14:textId="77777777">
      <w:pPr>
        <w:spacing w:after="243"/>
        <w:ind w:left="-5" w:right="7"/>
      </w:pPr>
      <w:r>
        <w:t xml:space="preserve">“The quality of provision for learners with high needs and with special educational needs and/or disabilities (SEND), a much broader group than those attracting highneeds funding, will always be considered during the inspection of any type of provision”. </w:t>
      </w:r>
    </w:p>
    <w:p w:rsidR="00834CED" w:rsidRDefault="00DC777C" w14:paraId="7C92FEB3" w14:textId="77777777">
      <w:pPr>
        <w:pStyle w:val="Heading1"/>
        <w:ind w:left="-5" w:right="0"/>
      </w:pPr>
      <w:bookmarkStart w:name="_Toc8188" w:id="5"/>
      <w:r>
        <w:t xml:space="preserve">Support </w:t>
      </w:r>
      <w:bookmarkEnd w:id="5"/>
    </w:p>
    <w:p w:rsidR="00834CED" w:rsidRDefault="00DC777C" w14:paraId="2E42224C" w14:textId="77777777">
      <w:pPr>
        <w:spacing w:after="0" w:line="259" w:lineRule="auto"/>
        <w:ind w:left="0" w:firstLine="0"/>
      </w:pPr>
      <w:r>
        <w:rPr>
          <w:color w:val="3A3F4E"/>
        </w:rPr>
        <w:t xml:space="preserve"> </w:t>
      </w:r>
    </w:p>
    <w:p w:rsidR="00834CED" w:rsidRDefault="00DC777C" w14:paraId="3A2A8E75" w14:textId="77777777">
      <w:pPr>
        <w:spacing w:after="226"/>
        <w:ind w:left="-5" w:right="470"/>
      </w:pPr>
      <w:r>
        <w:t xml:space="preserve">Support for SEND learners is individualised and tailored to meet their needs. Learners sharing the same barrier may receive differing support dependent upon the impact on learning. Support is not attached to a qualification aim and potentially is above and beyond a Tutor’s responsibility. </w:t>
      </w:r>
    </w:p>
    <w:p w:rsidR="00E863AE" w:rsidRDefault="00E863AE" w14:paraId="116FFAFE" w14:textId="77777777">
      <w:pPr>
        <w:pStyle w:val="Heading1"/>
        <w:ind w:left="-5" w:right="0"/>
      </w:pPr>
      <w:bookmarkStart w:name="_Toc8189" w:id="6"/>
    </w:p>
    <w:p w:rsidR="00E863AE" w:rsidRDefault="00E863AE" w14:paraId="6979A7DE" w14:textId="77777777">
      <w:pPr>
        <w:pStyle w:val="Heading1"/>
        <w:ind w:left="-5" w:right="0"/>
      </w:pPr>
    </w:p>
    <w:p w:rsidR="00834CED" w:rsidRDefault="00DC777C" w14:paraId="0DA7F7F9" w14:textId="0FFC9F58">
      <w:pPr>
        <w:pStyle w:val="Heading1"/>
        <w:ind w:left="-5" w:right="0"/>
      </w:pPr>
      <w:r>
        <w:t xml:space="preserve">Process  </w:t>
      </w:r>
      <w:bookmarkEnd w:id="6"/>
    </w:p>
    <w:p w:rsidR="00834CED" w:rsidRDefault="00DC777C" w14:paraId="7FE0BA49" w14:textId="77777777">
      <w:pPr>
        <w:spacing w:after="221" w:line="259" w:lineRule="auto"/>
        <w:ind w:left="-5"/>
      </w:pPr>
      <w:r>
        <w:rPr>
          <w:b/>
        </w:rPr>
        <w:t xml:space="preserve">Identification </w:t>
      </w:r>
    </w:p>
    <w:p w:rsidR="00834CED" w:rsidRDefault="00DC777C" w14:paraId="6B577083" w14:textId="77777777">
      <w:pPr>
        <w:numPr>
          <w:ilvl w:val="0"/>
          <w:numId w:val="3"/>
        </w:numPr>
        <w:ind w:right="7" w:hanging="720"/>
      </w:pPr>
      <w:r>
        <w:rPr>
          <w:b/>
        </w:rPr>
        <w:t>Learner Recruitment</w:t>
      </w:r>
      <w:r>
        <w:t xml:space="preserve"> – Learners are invited before the Enrolment Day to disclose any need or barrier to learning. This will be highlighted to the Learner Experience Co-ordinator to investigate further. </w:t>
      </w:r>
    </w:p>
    <w:p w:rsidR="00834CED" w:rsidRDefault="00DC777C" w14:paraId="1484444F" w14:textId="77777777">
      <w:pPr>
        <w:spacing w:after="19" w:line="259" w:lineRule="auto"/>
        <w:ind w:left="0" w:firstLine="0"/>
      </w:pPr>
      <w:r>
        <w:t xml:space="preserve"> </w:t>
      </w:r>
    </w:p>
    <w:p w:rsidRPr="00E321BB" w:rsidR="00834CED" w:rsidRDefault="00DC777C" w14:paraId="313D41C6" w14:textId="13B4241E">
      <w:pPr>
        <w:numPr>
          <w:ilvl w:val="0"/>
          <w:numId w:val="3"/>
        </w:numPr>
        <w:ind w:right="7" w:hanging="720"/>
      </w:pPr>
      <w:r w:rsidRPr="00E321BB">
        <w:rPr>
          <w:b/>
        </w:rPr>
        <w:t>Enrolment Day Activity</w:t>
      </w:r>
      <w:r w:rsidRPr="00E321BB">
        <w:t xml:space="preserve"> – The </w:t>
      </w:r>
      <w:r w:rsidRPr="00E321BB" w:rsidR="00E321BB">
        <w:t xml:space="preserve">Sen Coordinator </w:t>
      </w:r>
      <w:r w:rsidRPr="00E321BB">
        <w:t>will complete paperwork with learners to establish high-level information regarding their needs. Learners identified with a disclosed need will be invited to a meeting to explore how the need impacts on learning. The</w:t>
      </w:r>
      <w:r w:rsidRPr="00E321BB" w:rsidR="00E321BB">
        <w:t xml:space="preserve"> SEN Coordinator </w:t>
      </w:r>
      <w:r w:rsidRPr="00E321BB">
        <w:t xml:space="preserve">will complete </w:t>
      </w:r>
      <w:r w:rsidRPr="00E321BB">
        <w:rPr>
          <w:i/>
        </w:rPr>
        <w:t>SEND Register</w:t>
      </w:r>
      <w:r w:rsidRPr="00E321BB">
        <w:t xml:space="preserve"> and inform the </w:t>
      </w:r>
      <w:r w:rsidRPr="00E321BB" w:rsidR="00E321BB">
        <w:t>Interim Head of Education and Compliance.</w:t>
      </w:r>
    </w:p>
    <w:p w:rsidR="00834CED" w:rsidRDefault="00DC777C" w14:paraId="16110FD1" w14:textId="77777777">
      <w:pPr>
        <w:spacing w:after="0" w:line="259" w:lineRule="auto"/>
        <w:ind w:left="0" w:firstLine="0"/>
      </w:pPr>
      <w:r>
        <w:rPr>
          <w:color w:val="3A3F4E"/>
        </w:rPr>
        <w:t xml:space="preserve"> </w:t>
      </w:r>
    </w:p>
    <w:p w:rsidR="00834CED" w:rsidRDefault="00DC777C" w14:paraId="279871F6" w14:textId="77777777">
      <w:pPr>
        <w:numPr>
          <w:ilvl w:val="0"/>
          <w:numId w:val="3"/>
        </w:numPr>
        <w:ind w:right="7" w:hanging="720"/>
      </w:pPr>
      <w:r>
        <w:rPr>
          <w:b/>
        </w:rPr>
        <w:t>Individual Assessment</w:t>
      </w:r>
      <w:r>
        <w:t xml:space="preserve"> - Where there is an impact, and the learner consents to support, an individualised </w:t>
      </w:r>
      <w:r>
        <w:rPr>
          <w:i/>
        </w:rPr>
        <w:t>Learning Support Plan</w:t>
      </w:r>
      <w:r>
        <w:t xml:space="preserve"> will be created, and objectives identified and delivered to address the individualised need. </w:t>
      </w:r>
    </w:p>
    <w:p w:rsidR="00834CED" w:rsidRDefault="00DC777C" w14:paraId="1E58A437" w14:textId="77777777">
      <w:pPr>
        <w:spacing w:after="19" w:line="259" w:lineRule="auto"/>
        <w:ind w:left="0" w:firstLine="0"/>
      </w:pPr>
      <w:r>
        <w:t xml:space="preserve"> </w:t>
      </w:r>
    </w:p>
    <w:p w:rsidR="00834CED" w:rsidRDefault="00E321BB" w14:paraId="49A08E26" w14:textId="3158D5A3">
      <w:pPr>
        <w:numPr>
          <w:ilvl w:val="0"/>
          <w:numId w:val="3"/>
        </w:numPr>
        <w:ind w:right="7" w:hanging="720"/>
      </w:pPr>
      <w:r w:rsidRPr="00E321BB">
        <w:rPr>
          <w:b/>
        </w:rPr>
        <w:t xml:space="preserve">Interim </w:t>
      </w:r>
      <w:r w:rsidRPr="00E321BB" w:rsidR="00DC777C">
        <w:rPr>
          <w:b/>
        </w:rPr>
        <w:t>Head of Education</w:t>
      </w:r>
      <w:r w:rsidRPr="00E321BB">
        <w:rPr>
          <w:b/>
        </w:rPr>
        <w:t xml:space="preserve"> and Compliance</w:t>
      </w:r>
      <w:r w:rsidRPr="00E321BB" w:rsidR="00DC777C">
        <w:t xml:space="preserve"> – will assign support, purchase</w:t>
      </w:r>
      <w:r w:rsidR="00DC777C">
        <w:t xml:space="preserve"> equipment/software, or arrange exam considerations and/or reasonable adjustments.  </w:t>
      </w:r>
    </w:p>
    <w:p w:rsidR="00834CED" w:rsidRDefault="00DC777C" w14:paraId="2F7A1C2D" w14:textId="77777777">
      <w:pPr>
        <w:spacing w:after="21" w:line="259" w:lineRule="auto"/>
        <w:ind w:left="0" w:firstLine="0"/>
      </w:pPr>
      <w:r>
        <w:rPr>
          <w:color w:val="3A3F4E"/>
        </w:rPr>
        <w:t xml:space="preserve"> </w:t>
      </w:r>
    </w:p>
    <w:p w:rsidR="00834CED" w:rsidRDefault="00E321BB" w14:paraId="7A97B20D" w14:textId="625678A8">
      <w:pPr>
        <w:numPr>
          <w:ilvl w:val="0"/>
          <w:numId w:val="3"/>
        </w:numPr>
        <w:ind w:right="7" w:hanging="720"/>
      </w:pPr>
      <w:r w:rsidRPr="00E321BB">
        <w:rPr>
          <w:b/>
        </w:rPr>
        <w:t>Compliance Team Acti</w:t>
      </w:r>
      <w:r w:rsidRPr="00E321BB" w:rsidR="00DC777C">
        <w:rPr>
          <w:b/>
        </w:rPr>
        <w:t>vity</w:t>
      </w:r>
      <w:r w:rsidRPr="00E321BB" w:rsidR="00DC777C">
        <w:t xml:space="preserve"> - The disclosed need of learners will be entered</w:t>
      </w:r>
      <w:r w:rsidR="00DC777C">
        <w:t xml:space="preserve"> onto the </w:t>
      </w:r>
      <w:r w:rsidR="00DC777C">
        <w:rPr>
          <w:i/>
        </w:rPr>
        <w:t>ILR</w:t>
      </w:r>
      <w:r w:rsidR="00DC777C">
        <w:t xml:space="preserve">. This will then ensure visibility through reporting. </w:t>
      </w:r>
    </w:p>
    <w:p w:rsidR="00834CED" w:rsidRDefault="00DC777C" w14:paraId="28969668" w14:textId="77777777">
      <w:pPr>
        <w:spacing w:after="19" w:line="259" w:lineRule="auto"/>
        <w:ind w:left="0" w:firstLine="0"/>
      </w:pPr>
      <w:r>
        <w:t xml:space="preserve"> </w:t>
      </w:r>
    </w:p>
    <w:p w:rsidR="00834CED" w:rsidRDefault="00DC777C" w14:paraId="3414ED06" w14:textId="78DD8E5D">
      <w:pPr>
        <w:numPr>
          <w:ilvl w:val="0"/>
          <w:numId w:val="3"/>
        </w:numPr>
        <w:ind w:right="7" w:hanging="720"/>
      </w:pPr>
      <w:r>
        <w:t>If a learner does not disclose a need but later informs the Tutor, this should be referred to the</w:t>
      </w:r>
      <w:r w:rsidR="00E321BB">
        <w:t xml:space="preserve"> SEN Coordinator.</w:t>
      </w:r>
    </w:p>
    <w:p w:rsidR="00834CED" w:rsidRDefault="00DC777C" w14:paraId="21D5BF78" w14:textId="77777777">
      <w:pPr>
        <w:spacing w:after="19" w:line="259" w:lineRule="auto"/>
        <w:ind w:left="0" w:firstLine="0"/>
      </w:pPr>
      <w:r>
        <w:rPr>
          <w:color w:val="3A3F4E"/>
        </w:rPr>
        <w:t xml:space="preserve"> </w:t>
      </w:r>
    </w:p>
    <w:p w:rsidR="00834CED" w:rsidRDefault="00DC777C" w14:paraId="201F3297" w14:textId="77777777">
      <w:pPr>
        <w:numPr>
          <w:ilvl w:val="0"/>
          <w:numId w:val="3"/>
        </w:numPr>
        <w:ind w:right="7" w:hanging="720"/>
      </w:pPr>
      <w:r>
        <w:t xml:space="preserve">Equally, if the Tutor feels there may be an underlying difficulty, the learner </w:t>
      </w:r>
      <w:proofErr w:type="gramStart"/>
      <w:r>
        <w:t>can  be</w:t>
      </w:r>
      <w:proofErr w:type="gramEnd"/>
      <w:r>
        <w:t xml:space="preserve"> referred for options to be explored.  </w:t>
      </w:r>
    </w:p>
    <w:p w:rsidR="00834CED" w:rsidRDefault="00DC777C" w14:paraId="67E49615" w14:textId="77777777">
      <w:pPr>
        <w:spacing w:after="19" w:line="259" w:lineRule="auto"/>
        <w:ind w:left="0" w:firstLine="0"/>
      </w:pPr>
      <w:r>
        <w:t xml:space="preserve"> </w:t>
      </w:r>
    </w:p>
    <w:p w:rsidR="00834CED" w:rsidRDefault="00DC777C" w14:paraId="475E8B8E" w14:textId="77777777">
      <w:pPr>
        <w:numPr>
          <w:ilvl w:val="0"/>
          <w:numId w:val="3"/>
        </w:numPr>
        <w:ind w:right="7" w:hanging="720"/>
      </w:pPr>
      <w:r>
        <w:t xml:space="preserve">Indicators of a need for support such as low diagnostic outcome in English and/or  </w:t>
      </w:r>
    </w:p>
    <w:p w:rsidR="00834CED" w:rsidRDefault="00DC777C" w14:paraId="111C9DF5" w14:textId="77777777">
      <w:pPr>
        <w:ind w:left="730" w:right="7"/>
      </w:pPr>
      <w:r>
        <w:t xml:space="preserve">maths will also be explored to see if there is a Training Provider Identified Learning  </w:t>
      </w:r>
    </w:p>
    <w:p w:rsidR="00834CED" w:rsidRDefault="00DC777C" w14:paraId="11E46B8A" w14:textId="77777777">
      <w:pPr>
        <w:ind w:left="730" w:right="7"/>
      </w:pPr>
      <w:r>
        <w:t xml:space="preserve">Need (TPILN).  </w:t>
      </w:r>
    </w:p>
    <w:p w:rsidR="00834CED" w:rsidRDefault="00DC777C" w14:paraId="02FE5511" w14:textId="77777777">
      <w:pPr>
        <w:spacing w:after="19" w:line="259" w:lineRule="auto"/>
        <w:ind w:left="0" w:firstLine="0"/>
      </w:pPr>
      <w:r>
        <w:rPr>
          <w:b/>
        </w:rPr>
        <w:t xml:space="preserve"> </w:t>
      </w:r>
    </w:p>
    <w:p w:rsidR="00834CED" w:rsidRDefault="00DC777C" w14:paraId="72122F09" w14:textId="77777777">
      <w:pPr>
        <w:spacing w:after="259" w:line="259" w:lineRule="auto"/>
        <w:ind w:left="0" w:firstLine="0"/>
      </w:pPr>
      <w:r>
        <w:t xml:space="preserve"> </w:t>
      </w:r>
    </w:p>
    <w:p w:rsidR="00834CED" w:rsidRDefault="00DC777C" w14:paraId="3EA35F83" w14:textId="77777777">
      <w:pPr>
        <w:pStyle w:val="Heading1"/>
        <w:ind w:left="-5" w:right="0"/>
      </w:pPr>
      <w:bookmarkStart w:name="_Toc8190" w:id="7"/>
      <w:r>
        <w:t xml:space="preserve">Assessment </w:t>
      </w:r>
      <w:bookmarkEnd w:id="7"/>
    </w:p>
    <w:p w:rsidR="00834CED" w:rsidRDefault="00DC777C" w14:paraId="1C93FD15" w14:textId="77777777">
      <w:pPr>
        <w:spacing w:after="19" w:line="259" w:lineRule="auto"/>
        <w:ind w:left="0" w:firstLine="0"/>
      </w:pPr>
      <w:r>
        <w:rPr>
          <w:color w:val="3A3F4E"/>
        </w:rPr>
        <w:t xml:space="preserve"> </w:t>
      </w:r>
    </w:p>
    <w:p w:rsidR="00834CED" w:rsidRDefault="00DC777C" w14:paraId="7460D5F5" w14:textId="234BA6F2">
      <w:pPr>
        <w:ind w:left="-5" w:right="7"/>
      </w:pPr>
      <w:r w:rsidRPr="00E321BB">
        <w:t xml:space="preserve">Support needs of learners will be explored by the </w:t>
      </w:r>
      <w:r w:rsidRPr="00E321BB" w:rsidR="00E321BB">
        <w:t xml:space="preserve">SEN Coordinator </w:t>
      </w:r>
      <w:r w:rsidRPr="00E321BB">
        <w:t>in collaboration with the</w:t>
      </w:r>
      <w:r w:rsidRPr="00E321BB" w:rsidR="00E321BB">
        <w:t xml:space="preserve"> Interim Head of Education and Compliance</w:t>
      </w:r>
      <w:r w:rsidRPr="00E321BB">
        <w:t xml:space="preserve"> and Tutor. Justification of support will be documented.</w:t>
      </w:r>
      <w:r>
        <w:t xml:space="preserve"> </w:t>
      </w:r>
    </w:p>
    <w:p w:rsidR="00834CED" w:rsidRDefault="00DC777C" w14:paraId="41FD1536" w14:textId="77777777">
      <w:pPr>
        <w:spacing w:after="19" w:line="259" w:lineRule="auto"/>
        <w:ind w:left="0" w:firstLine="0"/>
      </w:pPr>
      <w:r>
        <w:t xml:space="preserve"> </w:t>
      </w:r>
    </w:p>
    <w:p w:rsidR="00834CED" w:rsidRDefault="00DC777C" w14:paraId="2523802D" w14:textId="77777777">
      <w:pPr>
        <w:ind w:left="-5" w:right="7"/>
      </w:pPr>
      <w:r>
        <w:t xml:space="preserve">A detailed Learning Support Plan will be created and targeted to the individual needs of the learner. This will be revisited and updated timely to evidence support provided and impact on learning. </w:t>
      </w:r>
    </w:p>
    <w:p w:rsidR="00834CED" w:rsidRDefault="00DC777C" w14:paraId="5DF903BB" w14:textId="77777777">
      <w:pPr>
        <w:spacing w:after="19" w:line="259" w:lineRule="auto"/>
        <w:ind w:left="0" w:firstLine="0"/>
      </w:pPr>
      <w:r>
        <w:t xml:space="preserve"> </w:t>
      </w:r>
    </w:p>
    <w:p w:rsidR="00834CED" w:rsidRDefault="00DC777C" w14:paraId="3510FE6B" w14:textId="77777777">
      <w:pPr>
        <w:ind w:left="-5" w:right="7"/>
      </w:pPr>
      <w:r>
        <w:t xml:space="preserve">If the learner holds evidence of need this will be requested to aid the creation of the Learning Support Plan and justification of Funding (if applicable). </w:t>
      </w:r>
    </w:p>
    <w:p w:rsidR="00834CED" w:rsidRDefault="00DC777C" w14:paraId="67FD0E68" w14:textId="77777777">
      <w:pPr>
        <w:spacing w:after="218" w:line="259" w:lineRule="auto"/>
        <w:ind w:left="0" w:firstLine="0"/>
      </w:pPr>
      <w:r>
        <w:t xml:space="preserve"> </w:t>
      </w:r>
    </w:p>
    <w:p w:rsidR="00834CED" w:rsidRDefault="00DC777C" w14:paraId="721EAD2E" w14:textId="77777777">
      <w:pPr>
        <w:pStyle w:val="Heading1"/>
        <w:ind w:left="-5" w:right="0"/>
      </w:pPr>
      <w:bookmarkStart w:name="_Toc8191" w:id="8"/>
      <w:r>
        <w:t xml:space="preserve">Education Health and Care Plans (EHCPs) </w:t>
      </w:r>
      <w:bookmarkEnd w:id="8"/>
    </w:p>
    <w:p w:rsidR="00834CED" w:rsidRDefault="00DC777C" w14:paraId="1DE6B227" w14:textId="25DCD780">
      <w:pPr>
        <w:ind w:left="-5" w:right="7"/>
      </w:pPr>
      <w:r>
        <w:t xml:space="preserve">Where a learner holds an Education Health and Care Plan, Blackburne House will need to obtain a copy. If this is not possible for the </w:t>
      </w:r>
      <w:r w:rsidR="00E952F4">
        <w:t>learner,</w:t>
      </w:r>
      <w:r>
        <w:t xml:space="preserve"> then Blackburne House will contact the Local Authority to request a copy and make them aware the learner is commencing a learning programme.  This will be input into the ILR. Blackburne House will lead at Annual Reviews. </w:t>
      </w:r>
      <w:r>
        <w:rPr>
          <w:b/>
        </w:rPr>
        <w:t xml:space="preserve"> </w:t>
      </w:r>
    </w:p>
    <w:p w:rsidR="00834CED" w:rsidRDefault="00DC777C" w14:paraId="364D4022" w14:textId="77777777">
      <w:pPr>
        <w:pStyle w:val="Heading1"/>
        <w:ind w:left="-5" w:right="0"/>
      </w:pPr>
      <w:bookmarkStart w:name="_Toc8192" w:id="9"/>
      <w:r>
        <w:t xml:space="preserve">Funding (refer to ESFA AEB Funding Rules 20/21 for detail) </w:t>
      </w:r>
      <w:bookmarkEnd w:id="9"/>
    </w:p>
    <w:p w:rsidR="00834CED" w:rsidRDefault="00DC777C" w14:paraId="4CA23A82" w14:textId="77777777">
      <w:pPr>
        <w:spacing w:after="19" w:line="259" w:lineRule="auto"/>
        <w:ind w:left="0" w:firstLine="0"/>
      </w:pPr>
      <w:r>
        <w:rPr>
          <w:b/>
          <w:color w:val="0F111D"/>
        </w:rPr>
        <w:t xml:space="preserve"> </w:t>
      </w:r>
    </w:p>
    <w:p w:rsidR="00834CED" w:rsidRDefault="00DC777C" w14:paraId="06AB651F" w14:textId="77777777">
      <w:pPr>
        <w:spacing w:after="221" w:line="259" w:lineRule="auto"/>
        <w:ind w:left="-5"/>
      </w:pPr>
      <w:r>
        <w:rPr>
          <w:b/>
        </w:rPr>
        <w:t xml:space="preserve">Learning Support Funding (LSF) </w:t>
      </w:r>
    </w:p>
    <w:p w:rsidR="00834CED" w:rsidRDefault="00DC777C" w14:paraId="78530C35" w14:textId="77777777">
      <w:pPr>
        <w:spacing w:after="204"/>
        <w:ind w:left="-5" w:right="7"/>
      </w:pPr>
      <w:r>
        <w:t xml:space="preserve">Learning Support Funding must not be used to deal with everyday difficulties that are not directly associated with a learner’s learning on their programme. To claim costs that exceed the fixed monthly rate (£150) the earnings adjustment statement (EAS) must be used.  </w:t>
      </w:r>
    </w:p>
    <w:p w:rsidR="00834CED" w:rsidRDefault="00DC777C" w14:paraId="25084511" w14:textId="77777777">
      <w:pPr>
        <w:spacing w:after="21" w:line="259" w:lineRule="auto"/>
        <w:ind w:left="0" w:firstLine="0"/>
      </w:pPr>
      <w:r>
        <w:rPr>
          <w:b/>
        </w:rPr>
        <w:t xml:space="preserve"> </w:t>
      </w:r>
    </w:p>
    <w:p w:rsidR="00834CED" w:rsidRDefault="00DC777C" w14:paraId="494E61BC" w14:textId="77777777">
      <w:pPr>
        <w:spacing w:after="19" w:line="259" w:lineRule="auto"/>
        <w:ind w:left="-5"/>
      </w:pPr>
      <w:r>
        <w:rPr>
          <w:b/>
        </w:rPr>
        <w:t xml:space="preserve">Earning Adjustment Statement (EAS) </w:t>
      </w:r>
    </w:p>
    <w:p w:rsidR="00834CED" w:rsidRDefault="00DC777C" w14:paraId="5F084ADA" w14:textId="77777777">
      <w:pPr>
        <w:ind w:left="-5" w:right="7"/>
      </w:pPr>
      <w:r>
        <w:t>Blackburne House must retain evidence of these additional costs in the Evidence Pack. You must only record the excess amount on the EAS, not the whole learning support cost. You may be able to claim the entire cost through the EAS where the learning aim is delivered in less than one calendar month.</w:t>
      </w:r>
      <w:r>
        <w:rPr>
          <w:b/>
        </w:rPr>
        <w:t xml:space="preserve">  </w:t>
      </w:r>
    </w:p>
    <w:p w:rsidR="00834CED" w:rsidRDefault="00DC777C" w14:paraId="5C2C7A11" w14:textId="77777777">
      <w:pPr>
        <w:spacing w:after="19" w:line="259" w:lineRule="auto"/>
        <w:ind w:left="0" w:firstLine="0"/>
      </w:pPr>
      <w:r>
        <w:rPr>
          <w:b/>
        </w:rPr>
        <w:t xml:space="preserve"> </w:t>
      </w:r>
    </w:p>
    <w:p w:rsidR="00834CED" w:rsidRDefault="00DC777C" w14:paraId="3153B518" w14:textId="77777777">
      <w:pPr>
        <w:spacing w:after="245"/>
        <w:ind w:left="-5" w:right="7"/>
      </w:pPr>
      <w:r>
        <w:t>You can claim to learn support if learning continues past the planned end date and the learner needs continued support to complete their programme.</w:t>
      </w:r>
      <w:r>
        <w:rPr>
          <w:b/>
        </w:rPr>
        <w:t xml:space="preserve"> </w:t>
      </w:r>
    </w:p>
    <w:p w:rsidR="00834CED" w:rsidRDefault="00DC777C" w14:paraId="7357282A" w14:textId="77777777">
      <w:pPr>
        <w:pStyle w:val="Heading1"/>
        <w:ind w:left="-5" w:right="0"/>
      </w:pPr>
      <w:bookmarkStart w:name="_Toc8193" w:id="10"/>
      <w:r>
        <w:t xml:space="preserve">Exceptional learning support (ELS) - claims above £19,000 </w:t>
      </w:r>
      <w:bookmarkEnd w:id="10"/>
    </w:p>
    <w:p w:rsidR="00834CED" w:rsidRDefault="00DC777C" w14:paraId="71ACDA47" w14:textId="77777777">
      <w:pPr>
        <w:spacing w:after="19" w:line="259" w:lineRule="auto"/>
        <w:ind w:left="0" w:firstLine="0"/>
      </w:pPr>
      <w:r>
        <w:t xml:space="preserve"> </w:t>
      </w:r>
    </w:p>
    <w:p w:rsidR="00834CED" w:rsidRDefault="00DC777C" w14:paraId="0F3EBBEC" w14:textId="77777777">
      <w:pPr>
        <w:spacing w:after="203"/>
        <w:ind w:left="-5" w:right="7"/>
      </w:pPr>
      <w:r>
        <w:t xml:space="preserve">If a learner needs significant levels of support to start or continue learning and has support costs of more than £19,000 in a funding year, you can claim exceptional learning support (ELS). Learners aged 19 to 24 who require significant levels of support should have an EHC plan provided by their local authority and, therefore, would access funding from their local authority. You must submit ELS claims at the beginning of the learner’s programme, or when you identify the learner requires support costs more than £19,000 in a funding year, by completing and sending the ELS claims to document. </w:t>
      </w:r>
    </w:p>
    <w:p w:rsidR="00834CED" w:rsidRDefault="00DC777C" w14:paraId="74BC1663" w14:textId="77777777">
      <w:pPr>
        <w:spacing w:after="206"/>
        <w:ind w:left="-5" w:right="7"/>
      </w:pPr>
      <w:r>
        <w:t xml:space="preserve">To claim exceptional learning support for a learner aged 19 to 24 you must confirm why the individual does not have an EHC plan. This should be a letter or email from the learner’s local authority stating the reason(s) why the individual does not need an EHC plan. When you claim exceptional learning support you must explain why you have claimed the amount you have, which would be linked to the learner’s assessment and planned learning support claim.  </w:t>
      </w:r>
    </w:p>
    <w:p w:rsidR="00834CED" w:rsidRDefault="00DC777C" w14:paraId="6EB3C302" w14:textId="77777777">
      <w:pPr>
        <w:spacing w:after="247"/>
        <w:ind w:left="-5" w:right="7"/>
      </w:pPr>
      <w:r>
        <w:t xml:space="preserve">You must only claim amounts for your costs of providing the support to the learner and not include any indirect costs or overheads. </w:t>
      </w:r>
    </w:p>
    <w:p w:rsidR="00834CED" w:rsidRDefault="00DC777C" w14:paraId="014D0510" w14:textId="77777777">
      <w:pPr>
        <w:pStyle w:val="Heading1"/>
        <w:ind w:left="-5" w:right="0"/>
      </w:pPr>
      <w:bookmarkStart w:name="_Toc8194" w:id="11"/>
      <w:r>
        <w:t xml:space="preserve">Learner support  </w:t>
      </w:r>
      <w:bookmarkEnd w:id="11"/>
    </w:p>
    <w:p w:rsidR="00834CED" w:rsidRDefault="00DC777C" w14:paraId="02C7E87E" w14:textId="77777777">
      <w:pPr>
        <w:ind w:left="-5" w:right="7"/>
      </w:pPr>
      <w:r>
        <w:t xml:space="preserve">Learner support is available to provide financial support for individuals with a specific financial hardship preventing them from taking part/continuing in learning. Before you award support to a learner, you must identify their needs within the following ‘categories’:  </w:t>
      </w:r>
    </w:p>
    <w:p w:rsidR="00834CED" w:rsidRDefault="00DC777C" w14:paraId="4A2EEDA9" w14:textId="77777777">
      <w:pPr>
        <w:spacing w:after="207"/>
        <w:ind w:left="-5" w:right="7"/>
      </w:pPr>
      <w:r>
        <w:rPr>
          <w:b/>
        </w:rPr>
        <w:t>Hardship funding</w:t>
      </w:r>
      <w:r>
        <w:t xml:space="preserve"> – general financial support for financially disadvantaged learners to support participation in learning  </w:t>
      </w:r>
    </w:p>
    <w:p w:rsidR="00834CED" w:rsidRDefault="00DC777C" w14:paraId="0560411A" w14:textId="77777777">
      <w:pPr>
        <w:spacing w:after="207"/>
        <w:ind w:left="-5" w:right="7"/>
      </w:pPr>
      <w:r>
        <w:rPr>
          <w:b/>
        </w:rPr>
        <w:t>20+ childcare funding</w:t>
      </w:r>
      <w:r>
        <w:t xml:space="preserve"> – for learners aged 20 or older on the first day of learning who are at risk of not starting or continuing learning because of childcare costs </w:t>
      </w:r>
    </w:p>
    <w:p w:rsidR="00834CED" w:rsidRDefault="00DC777C" w14:paraId="58AE3F5C" w14:textId="77777777">
      <w:pPr>
        <w:spacing w:after="204"/>
        <w:ind w:left="-5" w:right="7"/>
      </w:pPr>
      <w:r>
        <w:rPr>
          <w:b/>
        </w:rPr>
        <w:t>Residential Access funding</w:t>
      </w:r>
      <w:r>
        <w:t xml:space="preserve"> – to support ESFA funded AEB learners (set out in paragraph 27) where they need to live away from home to access provision  </w:t>
      </w:r>
    </w:p>
    <w:p w:rsidR="00834CED" w:rsidRDefault="00DC777C" w14:paraId="2FC1A01D" w14:textId="77777777">
      <w:pPr>
        <w:spacing w:after="204"/>
        <w:ind w:left="-5" w:right="7"/>
      </w:pPr>
      <w:r>
        <w:rPr>
          <w:b/>
        </w:rPr>
        <w:t>Coronavirus (COVID-19) response</w:t>
      </w:r>
      <w:r>
        <w:t xml:space="preserve"> – support disadvantaged learners who cannot undertake online delivery in the event of local or national measures in response to coronavirus (COVID-19) </w:t>
      </w:r>
    </w:p>
    <w:p w:rsidR="00834CED" w:rsidRDefault="00DC777C" w14:paraId="32283D65" w14:textId="77777777">
      <w:pPr>
        <w:spacing w:after="262" w:line="259" w:lineRule="auto"/>
        <w:ind w:left="0" w:firstLine="0"/>
      </w:pPr>
      <w:r>
        <w:t xml:space="preserve"> </w:t>
      </w:r>
    </w:p>
    <w:p w:rsidR="00834CED" w:rsidRDefault="00DC777C" w14:paraId="4CC822C2" w14:textId="77777777">
      <w:pPr>
        <w:pStyle w:val="Heading1"/>
        <w:ind w:left="-5" w:right="0"/>
      </w:pPr>
      <w:bookmarkStart w:name="_Toc8195" w:id="12"/>
      <w:r>
        <w:t xml:space="preserve">Intervention </w:t>
      </w:r>
      <w:bookmarkEnd w:id="12"/>
    </w:p>
    <w:p w:rsidR="00834CED" w:rsidRDefault="00DC777C" w14:paraId="34EA48DD" w14:textId="77777777">
      <w:pPr>
        <w:spacing w:after="0" w:line="259" w:lineRule="auto"/>
        <w:ind w:left="0" w:firstLine="0"/>
      </w:pPr>
      <w:r>
        <w:rPr>
          <w:color w:val="3A3F4E"/>
        </w:rPr>
        <w:t xml:space="preserve"> </w:t>
      </w:r>
    </w:p>
    <w:p w:rsidR="00834CED" w:rsidRDefault="00DC777C" w14:paraId="1AFA1EB4" w14:textId="77777777">
      <w:pPr>
        <w:spacing w:after="245"/>
        <w:ind w:left="-5" w:right="7"/>
      </w:pPr>
      <w:r>
        <w:t xml:space="preserve">Learners with barriers to learning will be supported if consent is granted. Where justification can be evidenced funding will be applied. Funding is applied based on the information submitted by the LSC and monitored by the Education Manager to ensure that the paperwork is completed, and justification is robust. The learner will be allocated to the RSC if 121 support is identified. Software/Resources/Services will be sought to enhance the learning experience and enable the learner to partake fully in the learning programme. Interventions and Support will be evidenced in the Learning Support Plan.  </w:t>
      </w:r>
    </w:p>
    <w:p w:rsidR="00834CED" w:rsidRDefault="00DC777C" w14:paraId="08789FC2" w14:textId="77777777">
      <w:pPr>
        <w:pStyle w:val="Heading1"/>
        <w:ind w:left="-5" w:right="0"/>
      </w:pPr>
      <w:bookmarkStart w:name="_Toc8196" w:id="13"/>
      <w:r>
        <w:t xml:space="preserve">Reasonable Adjustments </w:t>
      </w:r>
      <w:bookmarkEnd w:id="13"/>
    </w:p>
    <w:p w:rsidR="00834CED" w:rsidRDefault="00DC777C" w14:paraId="16958A14" w14:textId="77777777">
      <w:pPr>
        <w:spacing w:after="0" w:line="259" w:lineRule="auto"/>
        <w:ind w:left="0" w:firstLine="0"/>
      </w:pPr>
      <w:r>
        <w:rPr>
          <w:color w:val="3A3F4E"/>
        </w:rPr>
        <w:t xml:space="preserve"> </w:t>
      </w:r>
    </w:p>
    <w:p w:rsidR="00834CED" w:rsidRDefault="00DC777C" w14:paraId="01DEE860" w14:textId="77777777">
      <w:pPr>
        <w:spacing w:after="245"/>
        <w:ind w:left="-5" w:right="7"/>
      </w:pPr>
      <w:r>
        <w:t xml:space="preserve">Learners who require reasonable adjustments will have these organised and arranged based upon the evidence gathered to ensure they can complete their programme as per the Exam Considerations and Reasonable Adjustments Policy. </w:t>
      </w:r>
    </w:p>
    <w:p w:rsidR="00E863AE" w:rsidRDefault="00E863AE" w14:paraId="29D33C4B" w14:textId="77777777">
      <w:pPr>
        <w:pStyle w:val="Heading1"/>
        <w:ind w:left="-5" w:right="0"/>
      </w:pPr>
      <w:bookmarkStart w:name="_Toc8197" w:id="14"/>
    </w:p>
    <w:p w:rsidR="00834CED" w:rsidRDefault="00DC777C" w14:paraId="5F856CCF" w14:textId="19173183">
      <w:pPr>
        <w:pStyle w:val="Heading1"/>
        <w:ind w:left="-5" w:right="0"/>
      </w:pPr>
      <w:r>
        <w:t xml:space="preserve">Training and Development </w:t>
      </w:r>
      <w:bookmarkEnd w:id="14"/>
    </w:p>
    <w:p w:rsidR="00834CED" w:rsidRDefault="00DC777C" w14:paraId="1CAC3B69" w14:textId="77777777">
      <w:pPr>
        <w:spacing w:after="19" w:line="259" w:lineRule="auto"/>
        <w:ind w:left="0" w:firstLine="0"/>
      </w:pPr>
      <w:r>
        <w:rPr>
          <w:color w:val="3A3F4E"/>
        </w:rPr>
        <w:t xml:space="preserve"> </w:t>
      </w:r>
    </w:p>
    <w:p w:rsidR="00834CED" w:rsidRDefault="00DC777C" w14:paraId="166FFF71" w14:textId="77777777">
      <w:pPr>
        <w:spacing w:after="204"/>
        <w:ind w:left="-5" w:right="7"/>
      </w:pPr>
      <w:r>
        <w:t xml:space="preserve">Colleagues will be provided with training to develop their skills to ensure the needs of learners with SEND are met.  </w:t>
      </w:r>
    </w:p>
    <w:p w:rsidR="00834CED" w:rsidRDefault="00DC777C" w14:paraId="61A752C9" w14:textId="77777777">
      <w:pPr>
        <w:spacing w:after="207"/>
        <w:ind w:left="-5" w:right="7"/>
      </w:pPr>
      <w:r>
        <w:t xml:space="preserve">This will include training for delivery colleagues and the wider organisation to enable positive and inclusive recruitment and early intervention of support. </w:t>
      </w:r>
    </w:p>
    <w:p w:rsidR="00834CED" w:rsidRDefault="00DC777C" w14:paraId="6B1FE6D2" w14:textId="4BE58F6F">
      <w:pPr>
        <w:spacing w:after="190"/>
        <w:ind w:left="-5" w:right="7"/>
      </w:pPr>
      <w:r w:rsidRPr="00E321BB">
        <w:t>Guidance can be sought from the</w:t>
      </w:r>
      <w:r w:rsidRPr="00E321BB" w:rsidR="00E321BB">
        <w:t xml:space="preserve"> Interim Head of Education and Compliance.</w:t>
      </w:r>
    </w:p>
    <w:p w:rsidR="00834CED" w:rsidP="00E321BB" w:rsidRDefault="00834CED" w14:paraId="68DDCE6E" w14:textId="79DBF5B3">
      <w:pPr>
        <w:spacing w:after="218" w:line="259" w:lineRule="auto"/>
        <w:ind w:left="0" w:firstLine="0"/>
      </w:pPr>
    </w:p>
    <w:sectPr w:rsidR="00834CED">
      <w:headerReference w:type="even" r:id="rId11"/>
      <w:headerReference w:type="default" r:id="rId12"/>
      <w:headerReference w:type="first" r:id="rId15"/>
      <w:pgSz w:w="11906" w:h="16838" w:orient="portrait"/>
      <w:pgMar w:top="1448" w:right="1435" w:bottom="1464"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2FAC" w:rsidRDefault="00DC777C" w14:paraId="054B47BE" w14:textId="77777777">
      <w:pPr>
        <w:spacing w:after="0" w:line="240" w:lineRule="auto"/>
      </w:pPr>
      <w:r>
        <w:separator/>
      </w:r>
    </w:p>
  </w:endnote>
  <w:endnote w:type="continuationSeparator" w:id="0">
    <w:p w:rsidR="00D32FAC" w:rsidRDefault="00DC777C" w14:paraId="4A1A1B8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2FAC" w:rsidRDefault="00DC777C" w14:paraId="108C02C7" w14:textId="77777777">
      <w:pPr>
        <w:spacing w:after="0" w:line="240" w:lineRule="auto"/>
      </w:pPr>
      <w:r>
        <w:separator/>
      </w:r>
    </w:p>
  </w:footnote>
  <w:footnote w:type="continuationSeparator" w:id="0">
    <w:p w:rsidR="00D32FAC" w:rsidRDefault="00DC777C" w14:paraId="23F00CA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1BB" w:rsidRDefault="00E321BB" w14:paraId="3D31BBA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1BB" w:rsidRDefault="00E321BB" w14:paraId="71A4CBE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1BB" w:rsidRDefault="00E321BB" w14:paraId="0DE2557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D0117"/>
    <w:multiLevelType w:val="hybridMultilevel"/>
    <w:tmpl w:val="DEDADE62"/>
    <w:lvl w:ilvl="0" w:tplc="CECE6F92">
      <w:start w:val="1"/>
      <w:numFmt w:val="lowerLetter"/>
      <w:lvlText w:val="%1)"/>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4C4C71C">
      <w:start w:val="1"/>
      <w:numFmt w:val="lowerLetter"/>
      <w:lvlText w:val="%2"/>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388CAF5C">
      <w:start w:val="1"/>
      <w:numFmt w:val="lowerRoman"/>
      <w:lvlText w:val="%3"/>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FB9C3774">
      <w:start w:val="1"/>
      <w:numFmt w:val="decimal"/>
      <w:lvlText w:val="%4"/>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1F42666">
      <w:start w:val="1"/>
      <w:numFmt w:val="lowerLetter"/>
      <w:lvlText w:val="%5"/>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5DF86E6A">
      <w:start w:val="1"/>
      <w:numFmt w:val="lowerRoman"/>
      <w:lvlText w:val="%6"/>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6BB80D94">
      <w:start w:val="1"/>
      <w:numFmt w:val="decimal"/>
      <w:lvlText w:val="%7"/>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97A9B80">
      <w:start w:val="1"/>
      <w:numFmt w:val="lowerLetter"/>
      <w:lvlText w:val="%8"/>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2DF43612">
      <w:start w:val="1"/>
      <w:numFmt w:val="lowerRoman"/>
      <w:lvlText w:val="%9"/>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377C5D34"/>
    <w:multiLevelType w:val="hybridMultilevel"/>
    <w:tmpl w:val="C1AC7B7A"/>
    <w:lvl w:ilvl="0" w:tplc="85742F24">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66A8B7C">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9A7E514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73D2AE62">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8E5C0A56">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0A326066">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EECC5C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26CEE76">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B79A26BC">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400E2318"/>
    <w:multiLevelType w:val="hybridMultilevel"/>
    <w:tmpl w:val="25B4D008"/>
    <w:lvl w:ilvl="0" w:tplc="7DC2E6E4">
      <w:start w:val="1"/>
      <w:numFmt w:val="bullet"/>
      <w:lvlText w:val="➢"/>
      <w:lvlJc w:val="left"/>
      <w:pPr>
        <w:ind w:left="7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6F825338">
      <w:start w:val="1"/>
      <w:numFmt w:val="bullet"/>
      <w:lvlText w:val="o"/>
      <w:lvlJc w:val="left"/>
      <w:pPr>
        <w:ind w:left="14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EA50AF5A">
      <w:start w:val="1"/>
      <w:numFmt w:val="bullet"/>
      <w:lvlText w:val="▪"/>
      <w:lvlJc w:val="left"/>
      <w:pPr>
        <w:ind w:left="21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83C0FE74">
      <w:start w:val="1"/>
      <w:numFmt w:val="bullet"/>
      <w:lvlText w:val="•"/>
      <w:lvlJc w:val="left"/>
      <w:pPr>
        <w:ind w:left="28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41EC8624">
      <w:start w:val="1"/>
      <w:numFmt w:val="bullet"/>
      <w:lvlText w:val="o"/>
      <w:lvlJc w:val="left"/>
      <w:pPr>
        <w:ind w:left="36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806883B2">
      <w:start w:val="1"/>
      <w:numFmt w:val="bullet"/>
      <w:lvlText w:val="▪"/>
      <w:lvlJc w:val="left"/>
      <w:pPr>
        <w:ind w:left="43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E6CCE7EE">
      <w:start w:val="1"/>
      <w:numFmt w:val="bullet"/>
      <w:lvlText w:val="•"/>
      <w:lvlJc w:val="left"/>
      <w:pPr>
        <w:ind w:left="50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2918C692">
      <w:start w:val="1"/>
      <w:numFmt w:val="bullet"/>
      <w:lvlText w:val="o"/>
      <w:lvlJc w:val="left"/>
      <w:pPr>
        <w:ind w:left="57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57A480EC">
      <w:start w:val="1"/>
      <w:numFmt w:val="bullet"/>
      <w:lvlText w:val="▪"/>
      <w:lvlJc w:val="left"/>
      <w:pPr>
        <w:ind w:left="64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7FDF5984"/>
    <w:multiLevelType w:val="multilevel"/>
    <w:tmpl w:val="E8F25384"/>
    <w:lvl w:ilvl="0">
      <w:start w:val="1"/>
      <w:numFmt w:val="bullet"/>
      <w:lvlText w:val=""/>
      <w:lvlJc w:val="left"/>
      <w:pPr>
        <w:tabs>
          <w:tab w:val="num" w:pos="-1920"/>
        </w:tabs>
        <w:ind w:left="-1920" w:hanging="360"/>
      </w:pPr>
      <w:rPr>
        <w:rFonts w:hint="default" w:ascii="Symbol" w:hAnsi="Symbol"/>
        <w:sz w:val="20"/>
      </w:rPr>
    </w:lvl>
    <w:lvl w:ilvl="1" w:tentative="1">
      <w:start w:val="1"/>
      <w:numFmt w:val="bullet"/>
      <w:lvlText w:val=""/>
      <w:lvlJc w:val="left"/>
      <w:pPr>
        <w:tabs>
          <w:tab w:val="num" w:pos="-1200"/>
        </w:tabs>
        <w:ind w:left="-1200" w:hanging="360"/>
      </w:pPr>
      <w:rPr>
        <w:rFonts w:hint="default" w:ascii="Symbol" w:hAnsi="Symbol"/>
        <w:sz w:val="20"/>
      </w:rPr>
    </w:lvl>
    <w:lvl w:ilvl="2" w:tentative="1">
      <w:start w:val="1"/>
      <w:numFmt w:val="bullet"/>
      <w:lvlText w:val=""/>
      <w:lvlJc w:val="left"/>
      <w:pPr>
        <w:tabs>
          <w:tab w:val="num" w:pos="-480"/>
        </w:tabs>
        <w:ind w:left="-480" w:hanging="360"/>
      </w:pPr>
      <w:rPr>
        <w:rFonts w:hint="default" w:ascii="Symbol" w:hAnsi="Symbol"/>
        <w:sz w:val="20"/>
      </w:rPr>
    </w:lvl>
    <w:lvl w:ilvl="3" w:tentative="1">
      <w:start w:val="1"/>
      <w:numFmt w:val="bullet"/>
      <w:lvlText w:val=""/>
      <w:lvlJc w:val="left"/>
      <w:pPr>
        <w:tabs>
          <w:tab w:val="num" w:pos="240"/>
        </w:tabs>
        <w:ind w:left="240" w:hanging="360"/>
      </w:pPr>
      <w:rPr>
        <w:rFonts w:hint="default" w:ascii="Symbol" w:hAnsi="Symbol"/>
        <w:sz w:val="20"/>
      </w:rPr>
    </w:lvl>
    <w:lvl w:ilvl="4" w:tentative="1">
      <w:start w:val="1"/>
      <w:numFmt w:val="bullet"/>
      <w:lvlText w:val=""/>
      <w:lvlJc w:val="left"/>
      <w:pPr>
        <w:tabs>
          <w:tab w:val="num" w:pos="960"/>
        </w:tabs>
        <w:ind w:left="960" w:hanging="360"/>
      </w:pPr>
      <w:rPr>
        <w:rFonts w:hint="default" w:ascii="Symbol" w:hAnsi="Symbol"/>
        <w:sz w:val="20"/>
      </w:rPr>
    </w:lvl>
    <w:lvl w:ilvl="5" w:tentative="1">
      <w:start w:val="1"/>
      <w:numFmt w:val="bullet"/>
      <w:lvlText w:val=""/>
      <w:lvlJc w:val="left"/>
      <w:pPr>
        <w:tabs>
          <w:tab w:val="num" w:pos="1680"/>
        </w:tabs>
        <w:ind w:left="1680" w:hanging="360"/>
      </w:pPr>
      <w:rPr>
        <w:rFonts w:hint="default" w:ascii="Symbol" w:hAnsi="Symbol"/>
        <w:sz w:val="20"/>
      </w:rPr>
    </w:lvl>
    <w:lvl w:ilvl="6" w:tentative="1">
      <w:start w:val="1"/>
      <w:numFmt w:val="bullet"/>
      <w:lvlText w:val=""/>
      <w:lvlJc w:val="left"/>
      <w:pPr>
        <w:tabs>
          <w:tab w:val="num" w:pos="2400"/>
        </w:tabs>
        <w:ind w:left="2400" w:hanging="360"/>
      </w:pPr>
      <w:rPr>
        <w:rFonts w:hint="default" w:ascii="Symbol" w:hAnsi="Symbol"/>
        <w:sz w:val="20"/>
      </w:rPr>
    </w:lvl>
    <w:lvl w:ilvl="7" w:tentative="1">
      <w:start w:val="1"/>
      <w:numFmt w:val="bullet"/>
      <w:lvlText w:val=""/>
      <w:lvlJc w:val="left"/>
      <w:pPr>
        <w:tabs>
          <w:tab w:val="num" w:pos="3120"/>
        </w:tabs>
        <w:ind w:left="3120" w:hanging="360"/>
      </w:pPr>
      <w:rPr>
        <w:rFonts w:hint="default" w:ascii="Symbol" w:hAnsi="Symbol"/>
        <w:sz w:val="20"/>
      </w:rPr>
    </w:lvl>
    <w:lvl w:ilvl="8" w:tentative="1">
      <w:start w:val="1"/>
      <w:numFmt w:val="bullet"/>
      <w:lvlText w:val=""/>
      <w:lvlJc w:val="left"/>
      <w:pPr>
        <w:tabs>
          <w:tab w:val="num" w:pos="3840"/>
        </w:tabs>
        <w:ind w:left="3840" w:hanging="360"/>
      </w:pPr>
      <w:rPr>
        <w:rFonts w:hint="default" w:ascii="Symbol" w:hAnsi="Symbol"/>
        <w:sz w:val="20"/>
      </w:rPr>
    </w:lvl>
  </w:abstractNum>
  <w:num w:numId="1" w16cid:durableId="1069958762">
    <w:abstractNumId w:val="1"/>
  </w:num>
  <w:num w:numId="2" w16cid:durableId="647169054">
    <w:abstractNumId w:val="2"/>
  </w:num>
  <w:num w:numId="3" w16cid:durableId="188035856">
    <w:abstractNumId w:val="0"/>
  </w:num>
  <w:num w:numId="4" w16cid:durableId="4889129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CED"/>
    <w:rsid w:val="00574D74"/>
    <w:rsid w:val="005B3130"/>
    <w:rsid w:val="00834CED"/>
    <w:rsid w:val="00D32FAC"/>
    <w:rsid w:val="00DC777C"/>
    <w:rsid w:val="00E321BB"/>
    <w:rsid w:val="00E863AE"/>
    <w:rsid w:val="00E952F4"/>
    <w:rsid w:val="00F44DC3"/>
    <w:rsid w:val="0558BF7D"/>
    <w:rsid w:val="17275ED9"/>
    <w:rsid w:val="2B4F1C5F"/>
    <w:rsid w:val="45FC7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8DF1"/>
  <w15:docId w15:val="{F87104EE-AAD3-413D-B654-FD1CE75BD0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4" w:line="271" w:lineRule="auto"/>
      <w:ind w:left="10" w:hanging="10"/>
    </w:pPr>
    <w:rPr>
      <w:rFonts w:ascii="Arial" w:hAnsi="Arial" w:eastAsia="Arial" w:cs="Arial"/>
      <w:color w:val="000000"/>
      <w:sz w:val="24"/>
    </w:rPr>
  </w:style>
  <w:style w:type="paragraph" w:styleId="Heading1">
    <w:name w:val="heading 1"/>
    <w:next w:val="Normal"/>
    <w:link w:val="Heading1Char"/>
    <w:uiPriority w:val="9"/>
    <w:qFormat/>
    <w:pPr>
      <w:keepNext/>
      <w:keepLines/>
      <w:spacing w:after="20"/>
      <w:ind w:left="10" w:right="3830" w:hanging="10"/>
      <w:outlineLvl w:val="0"/>
    </w:pPr>
    <w:rPr>
      <w:rFonts w:ascii="Arial" w:hAnsi="Arial" w:eastAsia="Arial" w:cs="Arial"/>
      <w:color w:val="7030A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color w:val="7030A0"/>
      <w:sz w:val="24"/>
    </w:rPr>
  </w:style>
  <w:style w:type="paragraph" w:styleId="TOC1">
    <w:name w:val="toc 1"/>
    <w:hidden/>
    <w:pPr>
      <w:spacing w:after="108" w:line="271" w:lineRule="auto"/>
      <w:ind w:left="25" w:right="22" w:hanging="10"/>
    </w:pPr>
    <w:rPr>
      <w:rFonts w:ascii="Arial" w:hAnsi="Arial" w:eastAsia="Arial" w:cs="Arial"/>
      <w:color w:val="000000"/>
      <w:sz w:val="24"/>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321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321BB"/>
    <w:rPr>
      <w:rFonts w:ascii="Arial" w:hAnsi="Arial" w:eastAsia="Arial" w:cs="Arial"/>
      <w:color w:val="000000"/>
      <w:sz w:val="24"/>
    </w:rPr>
  </w:style>
  <w:style w:type="paragraph" w:styleId="NormalWeb">
    <w:name w:val="Normal (Web)"/>
    <w:basedOn w:val="Normal"/>
    <w:uiPriority w:val="99"/>
    <w:semiHidden/>
    <w:unhideWhenUsed/>
    <w:rsid w:val="005B3130"/>
    <w:pPr>
      <w:spacing w:before="100" w:beforeAutospacing="1" w:after="100" w:afterAutospacing="1" w:line="240" w:lineRule="auto"/>
      <w:ind w:left="0" w:firstLine="0"/>
    </w:pPr>
    <w:rPr>
      <w:rFonts w:ascii="Times New Roman" w:hAnsi="Times New Roman"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15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AD78B30B2C86488E2967A2DEF93CA4" ma:contentTypeVersion="6" ma:contentTypeDescription="Create a new document." ma:contentTypeScope="" ma:versionID="5662fa14ecb8ee0ab67d66d978e51a50">
  <xsd:schema xmlns:xsd="http://www.w3.org/2001/XMLSchema" xmlns:xs="http://www.w3.org/2001/XMLSchema" xmlns:p="http://schemas.microsoft.com/office/2006/metadata/properties" xmlns:ns2="297e11e5-4df7-4fab-bae7-895ea10ab7ce" xmlns:ns3="eaab57af-5fcd-4654-8703-ea0cd0d1ae74" targetNamespace="http://schemas.microsoft.com/office/2006/metadata/properties" ma:root="true" ma:fieldsID="cbd44c4f3baebb154d608a68aa325776" ns2:_="" ns3:_="">
    <xsd:import namespace="297e11e5-4df7-4fab-bae7-895ea10ab7ce"/>
    <xsd:import namespace="eaab57af-5fcd-4654-8703-ea0cd0d1ae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e11e5-4df7-4fab-bae7-895ea10ab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b57af-5fcd-4654-8703-ea0cd0d1ae7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B50AC-77C7-4B44-9969-833AD904EB6B}">
  <ds:schemaRefs>
    <ds:schemaRef ds:uri="http://schemas.microsoft.com/sharepoint/v3/contenttype/forms"/>
  </ds:schemaRefs>
</ds:datastoreItem>
</file>

<file path=customXml/itemProps2.xml><?xml version="1.0" encoding="utf-8"?>
<ds:datastoreItem xmlns:ds="http://schemas.openxmlformats.org/officeDocument/2006/customXml" ds:itemID="{7A4AFBD9-670D-4F62-AFC7-88E6DE7DDC6B}">
  <ds:schemaRefs>
    <ds:schemaRef ds:uri="1e8ec1aa-f243-468e-9b17-26bc494473b9"/>
    <ds:schemaRef ds:uri="http://purl.org/dc/terms/"/>
    <ds:schemaRef ds:uri="http://purl.org/dc/elements/1.1/"/>
    <ds:schemaRef ds:uri="http://schemas.microsoft.com/office/2006/documentManagement/types"/>
    <ds:schemaRef ds:uri="6e0ee4ac-5e36-4e5c-b20d-75968c6e51b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8FFFCBC-9FDB-4FDA-9F04-5B22A9AEC1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Eira</dc:creator>
  <keywords/>
  <lastModifiedBy>Lisa Mairah</lastModifiedBy>
  <revision>3</revision>
  <dcterms:created xsi:type="dcterms:W3CDTF">2023-09-20T09:08:00.0000000Z</dcterms:created>
  <dcterms:modified xsi:type="dcterms:W3CDTF">2024-09-26T11:48:07.1710136Z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0x01010018AD78B30B2C86488E2967A2DEF93CA4</vt:lpwstr>
  </property>
</Properties>
</file>